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rPr>
          <w:rFonts w:hint="eastAsia"/>
          <w:lang w:val="en-US" w:eastAsia="zh-Hans"/>
        </w:rPr>
      </w:pPr>
      <w:r>
        <w:br w:type="textWrapping"/>
      </w:r>
    </w:p>
    <w:p/>
    <w:p>
      <w:r>
        <w:br w:type="textWrapping"/>
      </w:r>
      <w:r>
        <w:br w:type="textWrapping"/>
      </w:r>
      <w:r>
        <w:br w:type="textWrapping"/>
      </w:r>
      <w:r>
        <w:br w:type="textWrapping"/>
      </w:r>
      <w:r>
        <w:br w:type="textWrapping"/>
      </w:r>
    </w:p>
    <w:p>
      <w:pPr>
        <w:jc w:val="center"/>
      </w:pPr>
      <w:r>
        <w:rPr>
          <w:b/>
          <w:sz w:val="48"/>
        </w:rPr>
        <w:t>广东省政府采购</w:t>
      </w:r>
    </w:p>
    <w:p/>
    <w:p>
      <w:pPr>
        <w:jc w:val="center"/>
      </w:pPr>
      <w:r>
        <w:rPr>
          <w:b/>
          <w:sz w:val="48"/>
        </w:rPr>
        <w:t>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jc w:val="center"/>
      </w:pPr>
      <w:r>
        <w:rPr>
          <w:b/>
          <w:sz w:val="24"/>
        </w:rPr>
        <w:t>采购计划编号：445301-2022-01159</w:t>
      </w:r>
    </w:p>
    <w:p>
      <w:pPr>
        <w:jc w:val="center"/>
      </w:pPr>
      <w:r>
        <w:rPr>
          <w:b/>
          <w:sz w:val="24"/>
        </w:rPr>
        <w:t>采购项目编号：GDXJ2022HGK3028</w:t>
      </w:r>
    </w:p>
    <w:p>
      <w:pPr>
        <w:jc w:val="center"/>
      </w:pPr>
      <w:r>
        <w:rPr>
          <w:b/>
          <w:sz w:val="24"/>
        </w:rPr>
        <w:t>项目名称：云浮技师学院氢能汽车专业实训设备</w:t>
      </w:r>
    </w:p>
    <w:p>
      <w:pPr>
        <w:jc w:val="center"/>
      </w:pPr>
      <w:r>
        <w:rPr>
          <w:b/>
          <w:sz w:val="24"/>
        </w:rPr>
        <w:t>采购人：云浮技师学院</w:t>
      </w:r>
    </w:p>
    <w:p>
      <w:pPr>
        <w:jc w:val="center"/>
      </w:pPr>
      <w:r>
        <w:rPr>
          <w:b/>
          <w:sz w:val="24"/>
        </w:rPr>
        <w:t>采购代理机构：广东晓君项目管理有限公司</w:t>
      </w:r>
    </w:p>
    <w:p>
      <w:pPr>
        <w:ind w:firstLine="480"/>
      </w:pPr>
    </w:p>
    <w:p>
      <w:r>
        <w:t xml:space="preserve"> </w:t>
      </w:r>
    </w:p>
    <w:p/>
    <w:p>
      <w:pPr>
        <w:jc w:val="center"/>
      </w:pPr>
      <w:r>
        <w:rPr>
          <w:b/>
          <w:sz w:val="36"/>
        </w:rPr>
        <w:t>第一章投标邀请</w:t>
      </w:r>
    </w:p>
    <w:p>
      <w:pPr>
        <w:ind w:firstLine="480"/>
      </w:pPr>
      <w:r>
        <w:t>广东晓君项目管理有限公司受云浮技师学院的委托，采用公开招标方式组织采购云浮技师学院氢能汽车专业实训设备。欢迎符合资格条件的国内供应商参加投标。</w:t>
      </w:r>
    </w:p>
    <w:p>
      <w:r>
        <w:rPr>
          <w:b/>
          <w:sz w:val="28"/>
        </w:rPr>
        <w:t>一.项目概述</w:t>
      </w:r>
    </w:p>
    <w:p>
      <w:r>
        <w:rPr>
          <w:b/>
          <w:sz w:val="24"/>
        </w:rPr>
        <w:t>1.名称与编号</w:t>
      </w:r>
    </w:p>
    <w:p>
      <w:pPr>
        <w:ind w:firstLine="480"/>
      </w:pPr>
      <w:r>
        <w:t>项目名称：云浮技师学院氢能汽车专业实训设备</w:t>
      </w:r>
    </w:p>
    <w:p>
      <w:pPr>
        <w:ind w:firstLine="480"/>
      </w:pPr>
      <w:r>
        <w:t>采购计划编号：445301-2022-01159</w:t>
      </w:r>
    </w:p>
    <w:p>
      <w:pPr>
        <w:ind w:firstLine="480"/>
      </w:pPr>
      <w:r>
        <w:t>采购项目编号：GDXJ2022HGK3028</w:t>
      </w:r>
    </w:p>
    <w:p>
      <w:pPr>
        <w:ind w:firstLine="480"/>
      </w:pPr>
      <w:r>
        <w:t>采购方式：公开招标</w:t>
      </w:r>
    </w:p>
    <w:p>
      <w:pPr>
        <w:ind w:firstLine="480"/>
      </w:pPr>
      <w:r>
        <w:t>预算金额：1,500,000.00元</w:t>
      </w:r>
    </w:p>
    <w:p>
      <w:r>
        <w:rPr>
          <w:b/>
          <w:sz w:val="24"/>
        </w:rPr>
        <w:t>2.项目内容及需求情况（采购项目技术规格、参数及要求）</w:t>
      </w:r>
    </w:p>
    <w:p>
      <w:pPr>
        <w:ind w:firstLine="480"/>
      </w:pPr>
    </w:p>
    <w:p/>
    <w:p>
      <w:r>
        <w:t>采购包1(云浮技师学院氢能汽车专业实训设备采购项目):</w:t>
      </w:r>
    </w:p>
    <w:p>
      <w:r>
        <w:t>采购包预算金额：1,500,000.00元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品目号</w:t>
            </w:r>
          </w:p>
        </w:tc>
        <w:tc>
          <w:tcPr>
            <w:tcW w:w="1424" w:type="dxa"/>
          </w:tcPr>
          <w:p>
            <w:r>
              <w:t>品目名称</w:t>
            </w:r>
          </w:p>
        </w:tc>
        <w:tc>
          <w:tcPr>
            <w:tcW w:w="2136" w:type="dxa"/>
          </w:tcPr>
          <w:p>
            <w:r>
              <w:t>采购标的</w:t>
            </w:r>
          </w:p>
        </w:tc>
        <w:tc>
          <w:tcPr>
            <w:tcW w:w="1187" w:type="dxa"/>
          </w:tcPr>
          <w:p>
            <w:r>
              <w:t>数量（单位）</w:t>
            </w:r>
          </w:p>
        </w:tc>
        <w:tc>
          <w:tcPr>
            <w:tcW w:w="1187" w:type="dxa"/>
          </w:tcPr>
          <w:p>
            <w:r>
              <w:t>技术规格、参数及要求</w:t>
            </w:r>
          </w:p>
        </w:tc>
        <w:tc>
          <w:tcPr>
            <w:tcW w:w="1187" w:type="dxa"/>
          </w:tcPr>
          <w:p>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1-1</w:t>
            </w:r>
          </w:p>
        </w:tc>
        <w:tc>
          <w:tcPr>
            <w:tcW w:w="1424" w:type="dxa"/>
          </w:tcPr>
          <w:p>
            <w:r>
              <w:t>其他机械设备</w:t>
            </w:r>
          </w:p>
        </w:tc>
        <w:tc>
          <w:tcPr>
            <w:tcW w:w="2136" w:type="dxa"/>
          </w:tcPr>
          <w:p>
            <w:r>
              <w:t>燃料电池堆装调检测工作站</w:t>
            </w:r>
          </w:p>
        </w:tc>
        <w:tc>
          <w:tcPr>
            <w:tcW w:w="1187" w:type="dxa"/>
          </w:tcPr>
          <w:p>
            <w:r>
              <w:t>1.0000(项)</w:t>
            </w:r>
          </w:p>
        </w:tc>
        <w:tc>
          <w:tcPr>
            <w:tcW w:w="1187" w:type="dxa"/>
          </w:tcPr>
          <w:p>
            <w:r>
              <w:t>详见第二章</w:t>
            </w:r>
          </w:p>
        </w:tc>
        <w:tc>
          <w:tcPr>
            <w:tcW w:w="1187" w:type="dxa"/>
          </w:tcPr>
          <w:p>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1-2</w:t>
            </w:r>
          </w:p>
        </w:tc>
        <w:tc>
          <w:tcPr>
            <w:tcW w:w="1424" w:type="dxa"/>
          </w:tcPr>
          <w:p>
            <w:r>
              <w:t>其他机械设备</w:t>
            </w:r>
          </w:p>
        </w:tc>
        <w:tc>
          <w:tcPr>
            <w:tcW w:w="2136" w:type="dxa"/>
          </w:tcPr>
          <w:p>
            <w:r>
              <w:t>燃料电池系统DC-DC 变换器装调检测工作站</w:t>
            </w:r>
          </w:p>
        </w:tc>
        <w:tc>
          <w:tcPr>
            <w:tcW w:w="1187" w:type="dxa"/>
          </w:tcPr>
          <w:p>
            <w:r>
              <w:t>1.0000(套)</w:t>
            </w:r>
          </w:p>
        </w:tc>
        <w:tc>
          <w:tcPr>
            <w:tcW w:w="1187" w:type="dxa"/>
          </w:tcPr>
          <w:p>
            <w:r>
              <w:t>详见第二章</w:t>
            </w:r>
          </w:p>
        </w:tc>
        <w:tc>
          <w:tcPr>
            <w:tcW w:w="1187" w:type="dxa"/>
          </w:tcPr>
          <w:p>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1-3</w:t>
            </w:r>
          </w:p>
        </w:tc>
        <w:tc>
          <w:tcPr>
            <w:tcW w:w="1424" w:type="dxa"/>
          </w:tcPr>
          <w:p>
            <w:r>
              <w:t>其他机械设备</w:t>
            </w:r>
          </w:p>
        </w:tc>
        <w:tc>
          <w:tcPr>
            <w:tcW w:w="2136" w:type="dxa"/>
          </w:tcPr>
          <w:p>
            <w:r>
              <w:t>高压储氢系统装调检测工作站</w:t>
            </w:r>
          </w:p>
        </w:tc>
        <w:tc>
          <w:tcPr>
            <w:tcW w:w="1187" w:type="dxa"/>
          </w:tcPr>
          <w:p>
            <w:r>
              <w:t>1.0000(套)</w:t>
            </w:r>
          </w:p>
        </w:tc>
        <w:tc>
          <w:tcPr>
            <w:tcW w:w="1187" w:type="dxa"/>
          </w:tcPr>
          <w:p>
            <w:r>
              <w:t>详见第二章</w:t>
            </w:r>
          </w:p>
        </w:tc>
        <w:tc>
          <w:tcPr>
            <w:tcW w:w="1187" w:type="dxa"/>
          </w:tcPr>
          <w:p>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1-4</w:t>
            </w:r>
          </w:p>
        </w:tc>
        <w:tc>
          <w:tcPr>
            <w:tcW w:w="1424" w:type="dxa"/>
          </w:tcPr>
          <w:p>
            <w:r>
              <w:t>其他机械设备</w:t>
            </w:r>
          </w:p>
        </w:tc>
        <w:tc>
          <w:tcPr>
            <w:tcW w:w="2136" w:type="dxa"/>
          </w:tcPr>
          <w:p>
            <w:r>
              <w:t>氢气加注系统与浓度监测装调检测工作站</w:t>
            </w:r>
          </w:p>
        </w:tc>
        <w:tc>
          <w:tcPr>
            <w:tcW w:w="1187" w:type="dxa"/>
          </w:tcPr>
          <w:p>
            <w:r>
              <w:t>1.0000(套)</w:t>
            </w:r>
          </w:p>
        </w:tc>
        <w:tc>
          <w:tcPr>
            <w:tcW w:w="1187" w:type="dxa"/>
          </w:tcPr>
          <w:p>
            <w:r>
              <w:t>详见第二章</w:t>
            </w:r>
          </w:p>
        </w:tc>
        <w:tc>
          <w:tcPr>
            <w:tcW w:w="1187" w:type="dxa"/>
          </w:tcPr>
          <w:p>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1-5</w:t>
            </w:r>
          </w:p>
        </w:tc>
        <w:tc>
          <w:tcPr>
            <w:tcW w:w="1424" w:type="dxa"/>
          </w:tcPr>
          <w:p>
            <w:r>
              <w:t>其他机械设备</w:t>
            </w:r>
          </w:p>
        </w:tc>
        <w:tc>
          <w:tcPr>
            <w:tcW w:w="2136" w:type="dxa"/>
          </w:tcPr>
          <w:p>
            <w:r>
              <w:t>燃料电池散热系统装调检测工作站</w:t>
            </w:r>
          </w:p>
        </w:tc>
        <w:tc>
          <w:tcPr>
            <w:tcW w:w="1187" w:type="dxa"/>
          </w:tcPr>
          <w:p>
            <w:r>
              <w:t>1.0000(套)</w:t>
            </w:r>
          </w:p>
        </w:tc>
        <w:tc>
          <w:tcPr>
            <w:tcW w:w="1187" w:type="dxa"/>
          </w:tcPr>
          <w:p>
            <w:r>
              <w:t>详见第二章</w:t>
            </w:r>
          </w:p>
        </w:tc>
        <w:tc>
          <w:tcPr>
            <w:tcW w:w="1187" w:type="dxa"/>
          </w:tcPr>
          <w:p>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1-6</w:t>
            </w:r>
          </w:p>
        </w:tc>
        <w:tc>
          <w:tcPr>
            <w:tcW w:w="1424" w:type="dxa"/>
          </w:tcPr>
          <w:p>
            <w:r>
              <w:t>其他机械设备</w:t>
            </w:r>
          </w:p>
        </w:tc>
        <w:tc>
          <w:tcPr>
            <w:tcW w:w="2136" w:type="dxa"/>
          </w:tcPr>
          <w:p>
            <w:r>
              <w:t>辅助动力电池装调检测工作站</w:t>
            </w:r>
          </w:p>
        </w:tc>
        <w:tc>
          <w:tcPr>
            <w:tcW w:w="1187" w:type="dxa"/>
          </w:tcPr>
          <w:p>
            <w:r>
              <w:t>1.0000(套)</w:t>
            </w:r>
          </w:p>
        </w:tc>
        <w:tc>
          <w:tcPr>
            <w:tcW w:w="1187" w:type="dxa"/>
          </w:tcPr>
          <w:p>
            <w:r>
              <w:t>详见第二章</w:t>
            </w:r>
          </w:p>
        </w:tc>
        <w:tc>
          <w:tcPr>
            <w:tcW w:w="1187" w:type="dxa"/>
          </w:tcPr>
          <w:p>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1-7</w:t>
            </w:r>
          </w:p>
        </w:tc>
        <w:tc>
          <w:tcPr>
            <w:tcW w:w="1424" w:type="dxa"/>
          </w:tcPr>
          <w:p>
            <w:r>
              <w:t>其他机械设备</w:t>
            </w:r>
          </w:p>
        </w:tc>
        <w:tc>
          <w:tcPr>
            <w:tcW w:w="2136" w:type="dxa"/>
          </w:tcPr>
          <w:p>
            <w:r>
              <w:t>氢燃料动力电池汽车高压控制系统装调检测工作站</w:t>
            </w:r>
          </w:p>
        </w:tc>
        <w:tc>
          <w:tcPr>
            <w:tcW w:w="1187" w:type="dxa"/>
          </w:tcPr>
          <w:p>
            <w:r>
              <w:t>1.0000(套)</w:t>
            </w:r>
          </w:p>
        </w:tc>
        <w:tc>
          <w:tcPr>
            <w:tcW w:w="1187" w:type="dxa"/>
          </w:tcPr>
          <w:p>
            <w:r>
              <w:t>详见第二章</w:t>
            </w:r>
          </w:p>
        </w:tc>
        <w:tc>
          <w:tcPr>
            <w:tcW w:w="1187" w:type="dxa"/>
          </w:tcPr>
          <w:p>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1-8</w:t>
            </w:r>
          </w:p>
        </w:tc>
        <w:tc>
          <w:tcPr>
            <w:tcW w:w="1424" w:type="dxa"/>
          </w:tcPr>
          <w:p>
            <w:r>
              <w:t>其他机械设备</w:t>
            </w:r>
          </w:p>
        </w:tc>
        <w:tc>
          <w:tcPr>
            <w:tcW w:w="2136" w:type="dxa"/>
          </w:tcPr>
          <w:p>
            <w:r>
              <w:t>燃料电池驱动电机装调检测工作站</w:t>
            </w:r>
          </w:p>
        </w:tc>
        <w:tc>
          <w:tcPr>
            <w:tcW w:w="1187" w:type="dxa"/>
          </w:tcPr>
          <w:p>
            <w:r>
              <w:t>1.0000(套)</w:t>
            </w:r>
          </w:p>
        </w:tc>
        <w:tc>
          <w:tcPr>
            <w:tcW w:w="1187" w:type="dxa"/>
          </w:tcPr>
          <w:p>
            <w:r>
              <w:t>详见第二章</w:t>
            </w:r>
          </w:p>
        </w:tc>
        <w:tc>
          <w:tcPr>
            <w:tcW w:w="1187" w:type="dxa"/>
          </w:tcPr>
          <w:p>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1-9</w:t>
            </w:r>
          </w:p>
        </w:tc>
        <w:tc>
          <w:tcPr>
            <w:tcW w:w="1424" w:type="dxa"/>
          </w:tcPr>
          <w:p>
            <w:r>
              <w:t>其他货物</w:t>
            </w:r>
          </w:p>
        </w:tc>
        <w:tc>
          <w:tcPr>
            <w:tcW w:w="2136" w:type="dxa"/>
          </w:tcPr>
          <w:p>
            <w:r>
              <w:t>专业文化氛围建设</w:t>
            </w:r>
          </w:p>
        </w:tc>
        <w:tc>
          <w:tcPr>
            <w:tcW w:w="1187" w:type="dxa"/>
          </w:tcPr>
          <w:p>
            <w:r>
              <w:t>1.0000(项)</w:t>
            </w:r>
          </w:p>
        </w:tc>
        <w:tc>
          <w:tcPr>
            <w:tcW w:w="1187" w:type="dxa"/>
          </w:tcPr>
          <w:p>
            <w:r>
              <w:t>详见第二章</w:t>
            </w:r>
          </w:p>
        </w:tc>
        <w:tc>
          <w:tcPr>
            <w:tcW w:w="1187" w:type="dxa"/>
          </w:tcPr>
          <w:p>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1-10</w:t>
            </w:r>
          </w:p>
        </w:tc>
        <w:tc>
          <w:tcPr>
            <w:tcW w:w="1424" w:type="dxa"/>
          </w:tcPr>
          <w:p>
            <w:r>
              <w:t>其他服务</w:t>
            </w:r>
          </w:p>
        </w:tc>
        <w:tc>
          <w:tcPr>
            <w:tcW w:w="2136" w:type="dxa"/>
          </w:tcPr>
          <w:p>
            <w:r>
              <w:t>氢能应用专业核心课程工学一体化教学资源开发</w:t>
            </w:r>
          </w:p>
        </w:tc>
        <w:tc>
          <w:tcPr>
            <w:tcW w:w="1187" w:type="dxa"/>
          </w:tcPr>
          <w:p>
            <w:r>
              <w:t>1.0000(项)</w:t>
            </w:r>
          </w:p>
        </w:tc>
        <w:tc>
          <w:tcPr>
            <w:tcW w:w="1187" w:type="dxa"/>
          </w:tcPr>
          <w:p>
            <w:r>
              <w:t>详见第二章</w:t>
            </w:r>
          </w:p>
        </w:tc>
        <w:tc>
          <w:tcPr>
            <w:tcW w:w="1187" w:type="dxa"/>
          </w:tcPr>
          <w:p>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1-11</w:t>
            </w:r>
          </w:p>
        </w:tc>
        <w:tc>
          <w:tcPr>
            <w:tcW w:w="1424" w:type="dxa"/>
          </w:tcPr>
          <w:p>
            <w:r>
              <w:t>其他服务</w:t>
            </w:r>
          </w:p>
        </w:tc>
        <w:tc>
          <w:tcPr>
            <w:tcW w:w="2136" w:type="dxa"/>
          </w:tcPr>
          <w:p>
            <w:r>
              <w:t>师资培训</w:t>
            </w:r>
          </w:p>
        </w:tc>
        <w:tc>
          <w:tcPr>
            <w:tcW w:w="1187" w:type="dxa"/>
          </w:tcPr>
          <w:p>
            <w:r>
              <w:t>1.0000(项)</w:t>
            </w:r>
          </w:p>
        </w:tc>
        <w:tc>
          <w:tcPr>
            <w:tcW w:w="1187" w:type="dxa"/>
          </w:tcPr>
          <w:p>
            <w:r>
              <w:t>详见第二章</w:t>
            </w:r>
          </w:p>
        </w:tc>
        <w:tc>
          <w:tcPr>
            <w:tcW w:w="1187" w:type="dxa"/>
          </w:tcPr>
          <w:p>
            <w:r>
              <w:t>否</w:t>
            </w:r>
          </w:p>
        </w:tc>
      </w:tr>
    </w:tbl>
    <w:p/>
    <w:p>
      <w:r>
        <w:t>本采购包不接受联合体投标</w:t>
      </w:r>
    </w:p>
    <w:p/>
    <w:p>
      <w:r>
        <w:t>合同履行期限：合同生效之日起60天内完成安装和调试，并经验收合格后交付采购</w:t>
      </w:r>
    </w:p>
    <w:p/>
    <w:p>
      <w:r>
        <w:rPr>
          <w:b/>
          <w:sz w:val="28"/>
        </w:rPr>
        <w:t>二.投标人的资格要求</w:t>
      </w:r>
    </w:p>
    <w:p>
      <w:r>
        <w:rPr>
          <w:b/>
          <w:sz w:val="24"/>
        </w:rPr>
        <w:t>1.投标人应具备《中华人民共和国政府采购法》第二十二条规定的条件，提供下列材料：</w:t>
      </w:r>
    </w:p>
    <w:p>
      <w:pPr>
        <w:ind w:firstLine="480"/>
      </w:pPr>
    </w:p>
    <w:p/>
    <w:p>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
      <w:r>
        <w:t>2）有依法缴纳税收和社会保障资金的良好记录：提供投标截止日前6个月内任意1个月依法缴纳税收和社会保障资金的相关材料。 如依法免税或不需要缴纳社会保障资金的， 提供相应证明材料。</w:t>
      </w:r>
    </w:p>
    <w:p/>
    <w:p>
      <w:r>
        <w:t>3）具有良好的商业信誉和健全的财务会计制度：供应商必须具有良好的商业信誉和健全的财务会计制度（提供2021年度财务状况报告或基本开户行出具的资信证明） 。</w:t>
      </w:r>
    </w:p>
    <w:p/>
    <w:p>
      <w:r>
        <w:t>4）履行合同所必需的设备和专业技术能力：按投标（响应）文件格式填报设备及专业技术能力情况。</w:t>
      </w:r>
    </w:p>
    <w:p/>
    <w:p>
      <w:r>
        <w:t>5）参加采购活动前3年内，在经营活动中没有重大违法记录：参照投标（报价）函相关承诺格式内容。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
      <w:r>
        <w:rPr>
          <w:b/>
          <w:sz w:val="24"/>
        </w:rPr>
        <w:t>2.落实政府采购政策需满足的资格要求：</w:t>
      </w:r>
    </w:p>
    <w:p>
      <w:pPr>
        <w:ind w:firstLine="480"/>
      </w:pPr>
    </w:p>
    <w:p>
      <w:pPr>
        <w:jc w:val="left"/>
      </w:pPr>
    </w:p>
    <w:p>
      <w:r>
        <w:t>采购包1（云浮技师学院氢能汽车专业实训设备采购项目）：采购包整体专门面向中小企业。按招标文件要求提供《中小型企业声明函》</w:t>
      </w:r>
    </w:p>
    <w:p/>
    <w:p>
      <w:r>
        <w:rPr>
          <w:b/>
          <w:sz w:val="24"/>
        </w:rPr>
        <w:t>3.本项目特定的资格要求：</w:t>
      </w:r>
    </w:p>
    <w:p>
      <w:pPr>
        <w:ind w:firstLine="480"/>
      </w:pPr>
    </w:p>
    <w:p/>
    <w:p>
      <w:r>
        <w:t>采购包1（云浮技师学院氢能汽车专业实训设备采购项目）：</w:t>
      </w:r>
    </w:p>
    <w:p/>
    <w:p>
      <w: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
      <w:r>
        <w:rPr>
          <w:b/>
          <w:sz w:val="28"/>
        </w:rPr>
        <w:t>三.获取招标文件</w:t>
      </w:r>
    </w:p>
    <w:p>
      <w:pPr>
        <w:ind w:firstLine="480"/>
      </w:pPr>
      <w:r>
        <w:t>时间：详见招标公告及其变更公告（如有）</w:t>
      </w:r>
    </w:p>
    <w:p>
      <w:pPr>
        <w:ind w:firstLine="480"/>
      </w:pPr>
      <w:r>
        <w:t>地点：详见招标公告及其变更公告（如有）</w:t>
      </w:r>
    </w:p>
    <w:p>
      <w:pPr>
        <w:ind w:firstLine="480"/>
      </w:pPr>
      <w: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ind w:firstLine="480"/>
      </w:pPr>
      <w:r>
        <w:t>售价：免费</w:t>
      </w:r>
    </w:p>
    <w:p>
      <w:r>
        <w:rPr>
          <w:b/>
          <w:sz w:val="28"/>
        </w:rPr>
        <w:t>四.提交投标文件截止时间、开标时间和地点：</w:t>
      </w:r>
    </w:p>
    <w:p>
      <w:pPr>
        <w:ind w:firstLine="480"/>
      </w:pPr>
      <w:r>
        <w:t>提交投标文件截止时间和开标时间：详见招标公告及其变更公告（如有）</w:t>
      </w:r>
    </w:p>
    <w:p>
      <w:pPr>
        <w:ind w:firstLine="480"/>
      </w:pPr>
      <w:r>
        <w:t>（自招标文件开始发出之日起至投标人提交投标文件截止之日止，不得少于20日）</w:t>
      </w:r>
    </w:p>
    <w:p>
      <w:pPr>
        <w:ind w:firstLine="480"/>
      </w:pPr>
      <w:r>
        <w:t>地点：详见招标公告及其变更公告（如有）</w:t>
      </w:r>
    </w:p>
    <w:p>
      <w:r>
        <w:rPr>
          <w:b/>
          <w:sz w:val="28"/>
        </w:rPr>
        <w:t>五.公告期限、发布公告的媒介：</w:t>
      </w:r>
    </w:p>
    <w:p>
      <w:pPr>
        <w:ind w:firstLine="480"/>
      </w:pPr>
      <w:r>
        <w:t>1、公告期限：自本公告发布之日起不得少于5个工作日。</w:t>
      </w:r>
    </w:p>
    <w:p>
      <w:pPr>
        <w:ind w:firstLine="480"/>
      </w:pPr>
      <w:r>
        <w:t>2、发布公告的媒介：中国政府采购网(www.ccgp.gov.cn)、广东省政府采购网(https://gdgpo.czt.gd.gov.cn/)；www.gdxjzbdl.com</w:t>
      </w:r>
    </w:p>
    <w:p>
      <w:r>
        <w:rPr>
          <w:b/>
          <w:sz w:val="28"/>
        </w:rPr>
        <w:t>六.本项目联系方式：</w:t>
      </w:r>
    </w:p>
    <w:p>
      <w:r>
        <w:rPr>
          <w:b/>
          <w:sz w:val="24"/>
        </w:rPr>
        <w:t>1.采购人信息</w:t>
      </w:r>
    </w:p>
    <w:p>
      <w:pPr>
        <w:ind w:firstLine="480"/>
      </w:pPr>
      <w:r>
        <w:t>名称：云浮技师学院</w:t>
      </w:r>
    </w:p>
    <w:p>
      <w:pPr>
        <w:ind w:firstLine="480"/>
      </w:pPr>
      <w:r>
        <w:t>地址：广东省云浮市云城区环市西路教育园区云浮技师学院</w:t>
      </w:r>
    </w:p>
    <w:p>
      <w:pPr>
        <w:ind w:firstLine="480"/>
      </w:pPr>
      <w:r>
        <w:t>联系方式：0766-8723695</w:t>
      </w:r>
    </w:p>
    <w:p>
      <w:r>
        <w:rPr>
          <w:b/>
          <w:sz w:val="24"/>
        </w:rPr>
        <w:t>2.采购代理机构信息</w:t>
      </w:r>
    </w:p>
    <w:p>
      <w:pPr>
        <w:ind w:firstLine="480"/>
      </w:pPr>
      <w:r>
        <w:t>名称：广东晓君项目管理有限公司</w:t>
      </w:r>
    </w:p>
    <w:p>
      <w:pPr>
        <w:ind w:firstLine="480"/>
      </w:pPr>
      <w:r>
        <w:t>地址：广东省云浮市云城区城中路110号第三幢三楼</w:t>
      </w:r>
    </w:p>
    <w:p>
      <w:pPr>
        <w:ind w:firstLine="480"/>
      </w:pPr>
      <w:r>
        <w:t>联系方式：0766-8399669</w:t>
      </w:r>
    </w:p>
    <w:p>
      <w:r>
        <w:rPr>
          <w:b/>
          <w:sz w:val="24"/>
        </w:rPr>
        <w:t>3.项目联系方式</w:t>
      </w:r>
    </w:p>
    <w:p>
      <w:pPr>
        <w:ind w:firstLine="480"/>
      </w:pPr>
      <w:r>
        <w:t>项目联系人：邓工</w:t>
      </w:r>
    </w:p>
    <w:p>
      <w:pPr>
        <w:ind w:firstLine="480"/>
      </w:pPr>
      <w:r>
        <w:t>电话：0766-8399669</w:t>
      </w:r>
    </w:p>
    <w:p>
      <w:r>
        <w:rPr>
          <w:b/>
          <w:sz w:val="24"/>
        </w:rPr>
        <w:t>4.技术支持联系方式</w:t>
      </w:r>
    </w:p>
    <w:p>
      <w:pPr>
        <w:ind w:firstLine="480"/>
      </w:pPr>
      <w:r>
        <w:t>云平台联系方式：400-183-2999</w:t>
      </w:r>
    </w:p>
    <w:p>
      <w:pPr>
        <w:ind w:firstLine="480"/>
      </w:pPr>
      <w:r>
        <w:t>数字证书CA技术服务热线：400-887-6133</w:t>
      </w:r>
    </w:p>
    <w:p>
      <w:r>
        <w:t>采购代理机构：广东晓君项目管理有限公司</w:t>
      </w:r>
    </w:p>
    <w:p>
      <w:pPr>
        <w:ind w:firstLine="480"/>
      </w:pPr>
    </w:p>
    <w:p>
      <w:r>
        <w:t xml:space="preserve"> </w:t>
      </w:r>
    </w:p>
    <w:p/>
    <w:p>
      <w:pPr>
        <w:jc w:val="center"/>
      </w:pPr>
      <w:r>
        <w:rPr>
          <w:b/>
          <w:sz w:val="36"/>
        </w:rPr>
        <w:t>第二章 采购需求</w:t>
      </w:r>
    </w:p>
    <w:p>
      <w:r>
        <w:rPr>
          <w:b/>
          <w:sz w:val="28"/>
        </w:rPr>
        <w:t>一、项目概况：</w:t>
      </w:r>
    </w:p>
    <w:p>
      <w:pPr>
        <w:ind w:firstLine="480"/>
      </w:pPr>
    </w:p>
    <w:p/>
    <w:p>
      <w:pPr>
        <w:numPr>
          <w:ilvl w:val="0"/>
          <w:numId w:val="1"/>
        </w:numPr>
      </w:pPr>
      <w:r>
        <w:rPr>
          <w:sz w:val="21"/>
        </w:rPr>
        <w:t>项目名称：云浮技师学院氢能汽车专业实训设备</w:t>
      </w:r>
    </w:p>
    <w:p>
      <w:pPr>
        <w:numPr>
          <w:ilvl w:val="0"/>
          <w:numId w:val="1"/>
        </w:numPr>
      </w:pPr>
      <w:r>
        <w:rPr>
          <w:sz w:val="21"/>
        </w:rPr>
        <w:t>项目编号：GDXJ2022HGK3028</w:t>
      </w:r>
    </w:p>
    <w:p>
      <w:pPr>
        <w:numPr>
          <w:ilvl w:val="0"/>
          <w:numId w:val="1"/>
        </w:numPr>
      </w:pPr>
      <w:r>
        <w:rPr>
          <w:sz w:val="21"/>
        </w:rPr>
        <w:t>最高限价：1500000元</w:t>
      </w:r>
    </w:p>
    <w:p>
      <w:pPr>
        <w:numPr>
          <w:ilvl w:val="0"/>
          <w:numId w:val="1"/>
        </w:numPr>
      </w:pPr>
      <w:r>
        <w:rPr>
          <w:sz w:val="21"/>
        </w:rPr>
        <w:t>数量：1批</w:t>
      </w:r>
    </w:p>
    <w:p>
      <w:pPr>
        <w:numPr>
          <w:ilvl w:val="0"/>
          <w:numId w:val="1"/>
        </w:numPr>
      </w:pPr>
      <w:r>
        <w:rPr>
          <w:sz w:val="21"/>
        </w:rPr>
        <w:t>需要落实的政府采购政策：《政府采购促进中小企业发展管理办法》（财库〔2020〕46号）、《关于政府采购支持监狱企业发展有关问题的通知》(财库〔2014〕68号)、《关于促进残疾人就业政府采购政策的通知》（财库〔2017〕141号)、《关于调整优化节能产品、环境标志产品政府采购执行机制的通知》（财库〔2019〕9号）等。</w:t>
      </w:r>
    </w:p>
    <w:p>
      <w:pPr>
        <w:numPr>
          <w:ilvl w:val="0"/>
          <w:numId w:val="1"/>
        </w:numPr>
      </w:pPr>
      <w:r>
        <w:rPr>
          <w:sz w:val="24"/>
        </w:rPr>
        <w:t>采购项目整体属于专门面向中小微企业采购的项目，对应的中小微企业划分标准所属行业为：工业</w:t>
      </w:r>
      <w:r>
        <w:rPr>
          <w:color w:val="000000"/>
          <w:sz w:val="24"/>
        </w:rPr>
        <w:t>。投标人提供的货物须全部由小微企业生产且使用该小微企业商号或注册商标。小微企业须符合本项目采购标的对应行业（工业）的政策划分标准。监狱企业、残疾人福利单位视同小型、微型企业。（注：小微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w:t>
      </w:r>
    </w:p>
    <w:p>
      <w:pPr>
        <w:numPr>
          <w:ilvl w:val="0"/>
          <w:numId w:val="1"/>
        </w:numPr>
      </w:pPr>
      <w:r>
        <w:t>采购一览表：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502"/>
        <w:gridCol w:w="809"/>
        <w:gridCol w:w="3282"/>
        <w:gridCol w:w="170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2" w:type="dxa"/>
            <w:tcBorders>
              <w:top w:val="single" w:color="000000" w:sz="8" w:space="0"/>
              <w:left w:val="single" w:color="000000" w:sz="8" w:space="0"/>
              <w:bottom w:val="single" w:color="000000" w:sz="8" w:space="0"/>
              <w:right w:val="single" w:color="000000" w:sz="8" w:space="0"/>
            </w:tcBorders>
            <w:shd w:val="clear" w:color="auto" w:fill="EEECE1"/>
            <w:vAlign w:val="top"/>
          </w:tcPr>
          <w:p>
            <w:pPr>
              <w:jc w:val="center"/>
            </w:pPr>
            <w:r>
              <w:rPr>
                <w:b/>
                <w:sz w:val="21"/>
              </w:rPr>
              <w:t>采购内容</w:t>
            </w:r>
          </w:p>
        </w:tc>
        <w:tc>
          <w:tcPr>
            <w:tcW w:w="809" w:type="dxa"/>
            <w:tcBorders>
              <w:top w:val="single" w:color="000000" w:sz="8" w:space="0"/>
              <w:left w:val="single" w:color="000000" w:sz="8" w:space="0"/>
              <w:bottom w:val="single" w:color="000000" w:sz="8" w:space="0"/>
              <w:right w:val="single" w:color="000000" w:sz="8" w:space="0"/>
            </w:tcBorders>
            <w:shd w:val="clear" w:color="auto" w:fill="EEECE1"/>
            <w:vAlign w:val="top"/>
          </w:tcPr>
          <w:p>
            <w:pPr>
              <w:jc w:val="center"/>
            </w:pPr>
            <w:r>
              <w:rPr>
                <w:b/>
                <w:sz w:val="21"/>
              </w:rPr>
              <w:t>数量</w:t>
            </w:r>
          </w:p>
        </w:tc>
        <w:tc>
          <w:tcPr>
            <w:tcW w:w="3282" w:type="dxa"/>
            <w:tcBorders>
              <w:top w:val="single" w:color="000000" w:sz="8" w:space="0"/>
              <w:left w:val="single" w:color="000000" w:sz="8" w:space="0"/>
              <w:bottom w:val="single" w:color="000000" w:sz="8" w:space="0"/>
              <w:right w:val="single" w:color="000000" w:sz="8" w:space="0"/>
            </w:tcBorders>
            <w:shd w:val="clear" w:color="auto" w:fill="EEECE1"/>
            <w:vAlign w:val="top"/>
          </w:tcPr>
          <w:p>
            <w:pPr>
              <w:jc w:val="center"/>
            </w:pPr>
            <w:r>
              <w:rPr>
                <w:b/>
                <w:sz w:val="21"/>
              </w:rPr>
              <w:t>交货期</w:t>
            </w:r>
          </w:p>
        </w:tc>
        <w:tc>
          <w:tcPr>
            <w:tcW w:w="1707" w:type="dxa"/>
            <w:tcBorders>
              <w:top w:val="single" w:color="000000" w:sz="8" w:space="0"/>
              <w:left w:val="single" w:color="000000" w:sz="8" w:space="0"/>
              <w:bottom w:val="single" w:color="000000" w:sz="8" w:space="0"/>
              <w:right w:val="single" w:color="000000" w:sz="8" w:space="0"/>
            </w:tcBorders>
            <w:shd w:val="clear" w:color="auto" w:fill="EEECE1"/>
            <w:vAlign w:val="top"/>
          </w:tcPr>
          <w:p>
            <w:pPr>
              <w:jc w:val="center"/>
            </w:pPr>
            <w:r>
              <w:rPr>
                <w:b/>
                <w:sz w:val="21"/>
              </w:rPr>
              <w:t>最高限价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2" w:type="dxa"/>
            <w:tcBorders>
              <w:top w:val="nil"/>
              <w:left w:val="single" w:color="000000" w:sz="8" w:space="0"/>
              <w:bottom w:val="single" w:color="000000" w:sz="8" w:space="0"/>
              <w:right w:val="single" w:color="000000" w:sz="8" w:space="0"/>
            </w:tcBorders>
            <w:vAlign w:val="top"/>
          </w:tcPr>
          <w:p>
            <w:pPr>
              <w:jc w:val="left"/>
            </w:pPr>
            <w:r>
              <w:rPr>
                <w:sz w:val="21"/>
              </w:rPr>
              <w:t>氢能源汽车专业实训设备、教学资源、场地文化建设等</w:t>
            </w:r>
          </w:p>
        </w:tc>
        <w:tc>
          <w:tcPr>
            <w:tcW w:w="809" w:type="dxa"/>
            <w:tcBorders>
              <w:top w:val="nil"/>
              <w:left w:val="single" w:color="000000" w:sz="8" w:space="0"/>
              <w:bottom w:val="single" w:color="000000" w:sz="8" w:space="0"/>
              <w:right w:val="single" w:color="000000" w:sz="8" w:space="0"/>
            </w:tcBorders>
            <w:vAlign w:val="top"/>
          </w:tcPr>
          <w:p>
            <w:pPr>
              <w:jc w:val="center"/>
            </w:pPr>
            <w:r>
              <w:rPr>
                <w:sz w:val="21"/>
              </w:rPr>
              <w:t>1批</w:t>
            </w:r>
          </w:p>
        </w:tc>
        <w:tc>
          <w:tcPr>
            <w:tcW w:w="3282" w:type="dxa"/>
            <w:tcBorders>
              <w:top w:val="nil"/>
              <w:left w:val="single" w:color="000000" w:sz="8" w:space="0"/>
              <w:bottom w:val="single" w:color="000000" w:sz="8" w:space="0"/>
              <w:right w:val="single" w:color="000000" w:sz="8" w:space="0"/>
            </w:tcBorders>
            <w:vAlign w:val="top"/>
          </w:tcPr>
          <w:p>
            <w:pPr>
              <w:jc w:val="left"/>
            </w:pPr>
            <w:r>
              <w:rPr>
                <w:sz w:val="21"/>
              </w:rPr>
              <w:t>合同生效之日起60天内完成安装和调试，并经验收合格后交付采购人使用。</w:t>
            </w:r>
          </w:p>
        </w:tc>
        <w:tc>
          <w:tcPr>
            <w:tcW w:w="1707" w:type="dxa"/>
            <w:tcBorders>
              <w:top w:val="nil"/>
              <w:left w:val="single" w:color="000000" w:sz="8" w:space="0"/>
              <w:bottom w:val="single" w:color="000000" w:sz="8" w:space="0"/>
              <w:right w:val="single" w:color="000000" w:sz="8" w:space="0"/>
            </w:tcBorders>
            <w:vAlign w:val="top"/>
          </w:tcPr>
          <w:p>
            <w:pPr>
              <w:ind w:firstLine="120"/>
            </w:pPr>
            <w:r>
              <w:rPr>
                <w:sz w:val="21"/>
              </w:rPr>
              <w:t>1500000元</w:t>
            </w:r>
          </w:p>
        </w:tc>
      </w:tr>
    </w:tbl>
    <w:p/>
    <w:p>
      <w:pPr>
        <w:ind w:firstLine="480"/>
      </w:pPr>
    </w:p>
    <w:p/>
    <w:p>
      <w:r>
        <w:t>采购包1（云浮技师学院氢能汽车专业实训设备采购项目）：</w:t>
      </w:r>
    </w:p>
    <w:p>
      <w:r>
        <w:rPr>
          <w:b/>
          <w:sz w:val="24"/>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标的提供的时间</w:t>
            </w:r>
          </w:p>
        </w:tc>
        <w:tc>
          <w:tcPr>
            <w:tcW w:w="4153" w:type="dxa"/>
          </w:tcPr>
          <w:p>
            <w:pPr>
              <w:jc w:val="left"/>
            </w:pPr>
          </w:p>
          <w:p>
            <w:r>
              <w:t>合同生效之日起60天内完成安装和调试，并经验收合格后交付采购人使用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标的提供的地点</w:t>
            </w:r>
          </w:p>
        </w:tc>
        <w:tc>
          <w:tcPr>
            <w:tcW w:w="4153" w:type="dxa"/>
          </w:tcPr>
          <w:p>
            <w:pPr>
              <w:jc w:val="left"/>
            </w:pPr>
          </w:p>
          <w:p>
            <w:r>
              <w:t>由采购人指定交货地点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投标有效期</w:t>
            </w:r>
          </w:p>
        </w:tc>
        <w:tc>
          <w:tcPr>
            <w:tcW w:w="4153" w:type="dxa"/>
          </w:tcPr>
          <w:p>
            <w:pPr>
              <w:jc w:val="left"/>
            </w:pPr>
          </w:p>
          <w:p>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r>
              <w:t>付款方式</w:t>
            </w:r>
          </w:p>
        </w:tc>
        <w:tc>
          <w:tcPr>
            <w:tcW w:w="4153" w:type="dxa"/>
          </w:tcPr>
          <w:p>
            <w:pPr>
              <w:jc w:val="left"/>
            </w:pPr>
          </w:p>
          <w:p/>
          <w:p/>
          <w:p>
            <w:r>
              <w:t>1期：支付比例50%，合同签订后支付合同金额的50%给中标人</w:t>
            </w:r>
          </w:p>
          <w:p/>
          <w:p>
            <w:r>
              <w:t>2期：支付比例50%，中标人完成生产交货且整个项目完成验收合格后，采购人支付合同金额的50%给中标人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验收要求</w:t>
            </w:r>
          </w:p>
        </w:tc>
        <w:tc>
          <w:tcPr>
            <w:tcW w:w="4153" w:type="dxa"/>
          </w:tcPr>
          <w:p>
            <w:pPr>
              <w:jc w:val="left"/>
            </w:pPr>
          </w:p>
          <w:p/>
          <w:p/>
          <w:p>
            <w:r>
              <w:t>1期：1、项目完工后，由采购人按规定组织三人以上单数人员组成验收小组，验收标准依次序对照适用标准为：①符合中华人民共和国国家安全质量标准、环保标准或行业标准；②符合采购文件和响应承诺中的合理最佳配置、参数及各项要求；③货物来源国官方标准。若项目按照有关法律法规规定必须经过相关法定部门验收的（例如特种设备、环保、消防等），中标（成交）供应商须与采购人、相关部门协调办理相关手续，并将有关部门验收合格的资料提交验收小组。中标（成交）供应商须配合验收小组的验收工作。 2、验收合格后，中标（成交）供应商须将关键主机设备的用户手册、保修手册、有关单证资料及配备件、随机工具等交付给采购人，使用操作及安全须知等重要资料应附有中文说明。 3..货物为原厂商未启封全新包装，具出厂合格证，序列号、包装箱号与出厂批号一致，并可追索查阅。所有随设备的附件必须齐全设备及其辅助装置的铭牌、使用指示、警告指示应以中文或英文及易懂的通用符号来表示，应能准确无误地表示设备的型号，规格、生产商，并提供所有设备的附件、说明书和技术咨询。纳入《国家强制性产品认证目录》内的产品，投标人应当提供3C认证证书；纳入《节能产品政府采购清单》内且属于强制采购的产品，投标人应当提供所投产品最新一期节能清单入围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履约保证金</w:t>
            </w:r>
          </w:p>
        </w:tc>
        <w:tc>
          <w:tcPr>
            <w:tcW w:w="4153" w:type="dxa"/>
          </w:tcPr>
          <w:p>
            <w:pPr>
              <w:jc w:val="left"/>
            </w:pPr>
          </w:p>
          <w:p/>
          <w:p/>
          <w:p/>
          <w:p>
            <w:r>
              <w:t>收取比例：3%,说明：合同签订前，中标（成交）供应商需向采购人提交合同金额的3% 作为履约保证金，项目验收合格满1年后，由中标（成交）供应商提出申请，采购人无息返还3%的履约保证金。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其他</w:t>
            </w:r>
          </w:p>
        </w:tc>
        <w:tc>
          <w:tcPr>
            <w:tcW w:w="4153" w:type="dxa"/>
          </w:tcPr>
          <w:p>
            <w:pPr>
              <w:jc w:val="left"/>
            </w:pPr>
          </w:p>
          <w:p/>
          <w:p>
            <w:r>
              <w:t>供货要求:1．所有产品必须是具有合法来源的原厂全新合格产品。 ★2.响应供应商应承诺，在验收测试过程中如测试结果与报价文件内容不符的视为虚假应标，并报相关的政府采购监督管理部门进行处理。（提供承诺函）</w:t>
            </w:r>
          </w:p>
          <w:p/>
          <w:p>
            <w:r>
              <w:t>报价要求:1．报价为采购人指定地点竣工验收交付价。 2．投标人对每一种型号及规格的报价产品只允许有一个报价，不接受有任何选择的报价，报价不能超过本项目预算，如超过则为无效投标。 3．报价必须包含货物及零配件的购置和安装、运输保险、装卸、培训辅导、质保期售后服务、全额含税发票、雇员费用、合同实施过程中应预见和不可预见费用等，采购人不再另付任何其他费用。</w:t>
            </w:r>
          </w:p>
          <w:p/>
          <w:p>
            <w:r>
              <w:t>质保期（服务期）:1．按行业标准及厂家质保标准提供质保，如没有相关规定的，由中标（成交）供应商提供不低于一年的质保期。如“采购项目技术规格、参数及要求”中对质保期另有说明的，应首先按另有说明执行。质保期按验收交付后连续正常使用累计使用时间。关于质保期内的服务内容已包含在本项目投标报价中，费用均由中标人承担。 2.质保期内，在非人为因素情况下，一切维修换件保养费用和备品备件均由中标（成交）供应商免费提供。如货物因自身故障致停用时间累计超过20天时，则质保期在状态恢复正常时归零重新计算或对故障设备予以重新更换。</w:t>
            </w:r>
          </w:p>
          <w:p/>
          <w:p>
            <w:r>
              <w:t>师资培训要求:1．必须有固定的培训机构，每年必须有2次定期、定点的师资培训班举行，所产生的费用由中标人承担。 2．响应供应商应列出所投设备在日常使用中的常见故障（提供设备常见故障及排除方法列表），并承诺指派专业技术人员对使用单位的维保人员进行相关培训，培训的内容应为《常见故障及排除方法列表》中所列的所有内容，并保证达到用户操作人员熟练操作为止。所产生的费用由中标（成交）供应商承担。 3．中标（成交）供应商为我校培训1-2名教师，教师掌握中标（成交）供应商提供设备的使用正确方法，所产生的费用由中标人承担。</w:t>
            </w:r>
          </w:p>
          <w:p/>
          <w:p>
            <w:r>
              <w:t>设备升级要求:供货厂家必须保证所销售的实训设备软件提供终身升级服务，所产生的费用由中标人承担。</w:t>
            </w:r>
          </w:p>
          <w:p/>
          <w:p>
            <w:r>
              <w:t>售后服务:1.质量保证期（简称“质保期”）不少于  1  年，质保期自双方代表在验收报告上签字之日起计算，质保期内中标（成交）供应商对所供设备实行包修、包换、包退、包维护保养，期满后提供终身（免费/有偿）维护保修。 2.中标（成交）供应商必须具有完善的技术队伍，包括具有足够的售后服务人员。 3.所有货物（或服务、工程）出现非人为故障，保修壹年（所产生的费用由中标人承担）；当货物（或服务、工程）发生故障或需要维修或需要更换时，中标（成交）供应商须在  2  小时内响应，  6 小时内上门服务；  48 小时内处理完毕。若在 48 小时内仍未能有效解决，中标（成交）供应商须提供同档次的设备予采购人临时使用，所产生的费用由中标人承担。 4.质保期内所发生的费用，包括货物（或服务、工程）维修费或更换费、人员交通费、差旅费、人员工资、务餐费等一切费用全部由中标（成交）供应商承担。 5.中标（成交）供应商须将有关产品说明书、原厂家安装手册、技术文件、资料及安装、验收报告等文档汇集成册后交付至采购人。 6.中标（成交）供应商所提供的设备提供配套培训服务，培训方案必须全面和合理。</w:t>
            </w:r>
          </w:p>
        </w:tc>
      </w:tr>
    </w:tbl>
    <w:p>
      <w:r>
        <w:rPr>
          <w:b/>
          <w:sz w:val="24"/>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9"/>
        <w:gridCol w:w="1022"/>
        <w:gridCol w:w="1479"/>
        <w:gridCol w:w="1579"/>
        <w:gridCol w:w="426"/>
        <w:gridCol w:w="802"/>
        <w:gridCol w:w="846"/>
        <w:gridCol w:w="846"/>
        <w:gridCol w:w="667"/>
        <w:gridCol w:w="4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 w:type="dxa"/>
          </w:tcPr>
          <w:p>
            <w:r>
              <w:t>序号</w:t>
            </w:r>
          </w:p>
        </w:tc>
        <w:tc>
          <w:tcPr>
            <w:tcW w:w="385" w:type="dxa"/>
          </w:tcPr>
          <w:p>
            <w:r>
              <w:t>核心产品（“△”）</w:t>
            </w:r>
          </w:p>
        </w:tc>
        <w:tc>
          <w:tcPr>
            <w:tcW w:w="1923" w:type="dxa"/>
          </w:tcPr>
          <w:p>
            <w:r>
              <w:t>品目名称</w:t>
            </w:r>
          </w:p>
        </w:tc>
        <w:tc>
          <w:tcPr>
            <w:tcW w:w="1923" w:type="dxa"/>
          </w:tcPr>
          <w:p>
            <w:r>
              <w:t>标的名称</w:t>
            </w:r>
          </w:p>
        </w:tc>
        <w:tc>
          <w:tcPr>
            <w:tcW w:w="385" w:type="dxa"/>
          </w:tcPr>
          <w:p>
            <w:r>
              <w:t>单位</w:t>
            </w:r>
          </w:p>
        </w:tc>
        <w:tc>
          <w:tcPr>
            <w:tcW w:w="769" w:type="dxa"/>
          </w:tcPr>
          <w:p>
            <w:r>
              <w:t>数量</w:t>
            </w:r>
          </w:p>
        </w:tc>
        <w:tc>
          <w:tcPr>
            <w:tcW w:w="769" w:type="dxa"/>
          </w:tcPr>
          <w:p>
            <w:r>
              <w:t>分项预算单价（元）</w:t>
            </w:r>
          </w:p>
        </w:tc>
        <w:tc>
          <w:tcPr>
            <w:tcW w:w="769" w:type="dxa"/>
          </w:tcPr>
          <w:p>
            <w:r>
              <w:t>分项预算总价（元）</w:t>
            </w:r>
          </w:p>
        </w:tc>
        <w:tc>
          <w:tcPr>
            <w:tcW w:w="769" w:type="dxa"/>
          </w:tcPr>
          <w:p>
            <w:r>
              <w:t>所属行业</w:t>
            </w:r>
          </w:p>
        </w:tc>
        <w:tc>
          <w:tcPr>
            <w:tcW w:w="385" w:type="dxa"/>
          </w:tcPr>
          <w:p>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 w:type="dxa"/>
          </w:tcPr>
          <w:p>
            <w:r>
              <w:t>1</w:t>
            </w:r>
          </w:p>
        </w:tc>
        <w:tc>
          <w:tcPr>
            <w:tcW w:w="385" w:type="dxa"/>
          </w:tcPr>
          <w:p>
            <w:r>
              <w:t>△</w:t>
            </w:r>
          </w:p>
        </w:tc>
        <w:tc>
          <w:tcPr>
            <w:tcW w:w="1923" w:type="dxa"/>
          </w:tcPr>
          <w:p>
            <w:r>
              <w:t>其他机械设备</w:t>
            </w:r>
          </w:p>
        </w:tc>
        <w:tc>
          <w:tcPr>
            <w:tcW w:w="1923" w:type="dxa"/>
          </w:tcPr>
          <w:p>
            <w:r>
              <w:t>燃料电池堆装调检测工作站</w:t>
            </w:r>
          </w:p>
        </w:tc>
        <w:tc>
          <w:tcPr>
            <w:tcW w:w="385" w:type="dxa"/>
          </w:tcPr>
          <w:p>
            <w:r>
              <w:t>项</w:t>
            </w:r>
          </w:p>
        </w:tc>
        <w:tc>
          <w:tcPr>
            <w:tcW w:w="769" w:type="dxa"/>
          </w:tcPr>
          <w:p>
            <w:pPr>
              <w:jc w:val="right"/>
            </w:pPr>
            <w:r>
              <w:t>1.0000</w:t>
            </w:r>
          </w:p>
        </w:tc>
        <w:tc>
          <w:tcPr>
            <w:tcW w:w="769" w:type="dxa"/>
          </w:tcPr>
          <w:p>
            <w:pPr>
              <w:jc w:val="right"/>
            </w:pPr>
            <w:r>
              <w:t>0.00</w:t>
            </w:r>
          </w:p>
        </w:tc>
        <w:tc>
          <w:tcPr>
            <w:tcW w:w="769" w:type="dxa"/>
          </w:tcPr>
          <w:p>
            <w:pPr>
              <w:jc w:val="right"/>
            </w:pPr>
            <w:r>
              <w:t>0.00</w:t>
            </w:r>
          </w:p>
        </w:tc>
        <w:tc>
          <w:tcPr>
            <w:tcW w:w="769" w:type="dxa"/>
          </w:tcPr>
          <w:p>
            <w:r>
              <w:t>工业</w:t>
            </w:r>
          </w:p>
        </w:tc>
        <w:tc>
          <w:tcPr>
            <w:tcW w:w="385" w:type="dxa"/>
          </w:tcPr>
          <w:p>
            <w:r>
              <w:t>详见附表一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 w:type="dxa"/>
          </w:tcPr>
          <w:p>
            <w:r>
              <w:t>2</w:t>
            </w:r>
          </w:p>
        </w:tc>
        <w:tc>
          <w:tcPr>
            <w:tcW w:w="385" w:type="dxa"/>
          </w:tcPr>
          <w:p/>
        </w:tc>
        <w:tc>
          <w:tcPr>
            <w:tcW w:w="1923" w:type="dxa"/>
          </w:tcPr>
          <w:p>
            <w:r>
              <w:t>其他机械设备</w:t>
            </w:r>
          </w:p>
        </w:tc>
        <w:tc>
          <w:tcPr>
            <w:tcW w:w="1923" w:type="dxa"/>
          </w:tcPr>
          <w:p>
            <w:r>
              <w:t>燃料电池系统DC-DC 变换器装调检测工作站</w:t>
            </w:r>
          </w:p>
        </w:tc>
        <w:tc>
          <w:tcPr>
            <w:tcW w:w="385" w:type="dxa"/>
          </w:tcPr>
          <w:p>
            <w:r>
              <w:t>套</w:t>
            </w:r>
          </w:p>
        </w:tc>
        <w:tc>
          <w:tcPr>
            <w:tcW w:w="769" w:type="dxa"/>
          </w:tcPr>
          <w:p>
            <w:pPr>
              <w:jc w:val="right"/>
            </w:pPr>
            <w:r>
              <w:t>1.0000</w:t>
            </w:r>
          </w:p>
        </w:tc>
        <w:tc>
          <w:tcPr>
            <w:tcW w:w="769" w:type="dxa"/>
          </w:tcPr>
          <w:p>
            <w:pPr>
              <w:jc w:val="right"/>
            </w:pPr>
            <w:r>
              <w:t>0.00</w:t>
            </w:r>
          </w:p>
        </w:tc>
        <w:tc>
          <w:tcPr>
            <w:tcW w:w="769" w:type="dxa"/>
          </w:tcPr>
          <w:p>
            <w:pPr>
              <w:jc w:val="right"/>
            </w:pPr>
            <w:r>
              <w:t>0.00</w:t>
            </w:r>
          </w:p>
        </w:tc>
        <w:tc>
          <w:tcPr>
            <w:tcW w:w="769" w:type="dxa"/>
          </w:tcPr>
          <w:p>
            <w:r>
              <w:t>工业</w:t>
            </w:r>
          </w:p>
        </w:tc>
        <w:tc>
          <w:tcPr>
            <w:tcW w:w="385" w:type="dxa"/>
          </w:tcPr>
          <w:p>
            <w:r>
              <w:t>详见附表二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 w:type="dxa"/>
          </w:tcPr>
          <w:p>
            <w:r>
              <w:t>3</w:t>
            </w:r>
          </w:p>
        </w:tc>
        <w:tc>
          <w:tcPr>
            <w:tcW w:w="385" w:type="dxa"/>
          </w:tcPr>
          <w:p/>
        </w:tc>
        <w:tc>
          <w:tcPr>
            <w:tcW w:w="1923" w:type="dxa"/>
          </w:tcPr>
          <w:p>
            <w:r>
              <w:t>其他机械设备</w:t>
            </w:r>
          </w:p>
        </w:tc>
        <w:tc>
          <w:tcPr>
            <w:tcW w:w="1923" w:type="dxa"/>
          </w:tcPr>
          <w:p>
            <w:r>
              <w:t>高压储氢系统装调检测工作站</w:t>
            </w:r>
          </w:p>
        </w:tc>
        <w:tc>
          <w:tcPr>
            <w:tcW w:w="385" w:type="dxa"/>
          </w:tcPr>
          <w:p>
            <w:r>
              <w:t>套</w:t>
            </w:r>
          </w:p>
        </w:tc>
        <w:tc>
          <w:tcPr>
            <w:tcW w:w="769" w:type="dxa"/>
          </w:tcPr>
          <w:p>
            <w:pPr>
              <w:jc w:val="right"/>
            </w:pPr>
            <w:r>
              <w:t>1.0000</w:t>
            </w:r>
          </w:p>
        </w:tc>
        <w:tc>
          <w:tcPr>
            <w:tcW w:w="769" w:type="dxa"/>
          </w:tcPr>
          <w:p>
            <w:pPr>
              <w:jc w:val="right"/>
            </w:pPr>
            <w:r>
              <w:t>0.00</w:t>
            </w:r>
          </w:p>
        </w:tc>
        <w:tc>
          <w:tcPr>
            <w:tcW w:w="769" w:type="dxa"/>
          </w:tcPr>
          <w:p>
            <w:pPr>
              <w:jc w:val="right"/>
            </w:pPr>
            <w:r>
              <w:t>0.00</w:t>
            </w:r>
          </w:p>
        </w:tc>
        <w:tc>
          <w:tcPr>
            <w:tcW w:w="769" w:type="dxa"/>
          </w:tcPr>
          <w:p>
            <w:r>
              <w:t>工业</w:t>
            </w:r>
          </w:p>
        </w:tc>
        <w:tc>
          <w:tcPr>
            <w:tcW w:w="385" w:type="dxa"/>
          </w:tcPr>
          <w:p>
            <w:r>
              <w:t>详见附表三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 w:type="dxa"/>
          </w:tcPr>
          <w:p>
            <w:r>
              <w:t>4</w:t>
            </w:r>
          </w:p>
        </w:tc>
        <w:tc>
          <w:tcPr>
            <w:tcW w:w="385" w:type="dxa"/>
          </w:tcPr>
          <w:p/>
        </w:tc>
        <w:tc>
          <w:tcPr>
            <w:tcW w:w="1923" w:type="dxa"/>
          </w:tcPr>
          <w:p>
            <w:r>
              <w:t>其他机械设备</w:t>
            </w:r>
          </w:p>
        </w:tc>
        <w:tc>
          <w:tcPr>
            <w:tcW w:w="1923" w:type="dxa"/>
          </w:tcPr>
          <w:p>
            <w:r>
              <w:t>氢气加注系统与浓度监测装调检测工作站</w:t>
            </w:r>
          </w:p>
        </w:tc>
        <w:tc>
          <w:tcPr>
            <w:tcW w:w="385" w:type="dxa"/>
          </w:tcPr>
          <w:p>
            <w:r>
              <w:t>套</w:t>
            </w:r>
          </w:p>
        </w:tc>
        <w:tc>
          <w:tcPr>
            <w:tcW w:w="769" w:type="dxa"/>
          </w:tcPr>
          <w:p>
            <w:pPr>
              <w:jc w:val="right"/>
            </w:pPr>
            <w:r>
              <w:t>1.0000</w:t>
            </w:r>
          </w:p>
        </w:tc>
        <w:tc>
          <w:tcPr>
            <w:tcW w:w="769" w:type="dxa"/>
          </w:tcPr>
          <w:p>
            <w:pPr>
              <w:jc w:val="right"/>
            </w:pPr>
            <w:r>
              <w:t>0.00</w:t>
            </w:r>
          </w:p>
        </w:tc>
        <w:tc>
          <w:tcPr>
            <w:tcW w:w="769" w:type="dxa"/>
          </w:tcPr>
          <w:p>
            <w:pPr>
              <w:jc w:val="right"/>
            </w:pPr>
            <w:r>
              <w:t>0.00</w:t>
            </w:r>
          </w:p>
        </w:tc>
        <w:tc>
          <w:tcPr>
            <w:tcW w:w="769" w:type="dxa"/>
          </w:tcPr>
          <w:p>
            <w:r>
              <w:t>工业</w:t>
            </w:r>
          </w:p>
        </w:tc>
        <w:tc>
          <w:tcPr>
            <w:tcW w:w="385" w:type="dxa"/>
          </w:tcPr>
          <w:p>
            <w:r>
              <w:t>详见附表四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 w:type="dxa"/>
          </w:tcPr>
          <w:p>
            <w:r>
              <w:t>5</w:t>
            </w:r>
          </w:p>
        </w:tc>
        <w:tc>
          <w:tcPr>
            <w:tcW w:w="385" w:type="dxa"/>
          </w:tcPr>
          <w:p/>
        </w:tc>
        <w:tc>
          <w:tcPr>
            <w:tcW w:w="1923" w:type="dxa"/>
          </w:tcPr>
          <w:p>
            <w:r>
              <w:t>其他机械设备</w:t>
            </w:r>
          </w:p>
        </w:tc>
        <w:tc>
          <w:tcPr>
            <w:tcW w:w="1923" w:type="dxa"/>
          </w:tcPr>
          <w:p>
            <w:r>
              <w:t>燃料电池散热系统装调检测工作站</w:t>
            </w:r>
          </w:p>
        </w:tc>
        <w:tc>
          <w:tcPr>
            <w:tcW w:w="385" w:type="dxa"/>
          </w:tcPr>
          <w:p>
            <w:r>
              <w:t>套</w:t>
            </w:r>
          </w:p>
        </w:tc>
        <w:tc>
          <w:tcPr>
            <w:tcW w:w="769" w:type="dxa"/>
          </w:tcPr>
          <w:p>
            <w:pPr>
              <w:jc w:val="right"/>
            </w:pPr>
            <w:r>
              <w:t>1.0000</w:t>
            </w:r>
          </w:p>
        </w:tc>
        <w:tc>
          <w:tcPr>
            <w:tcW w:w="769" w:type="dxa"/>
          </w:tcPr>
          <w:p>
            <w:pPr>
              <w:jc w:val="right"/>
            </w:pPr>
            <w:r>
              <w:t>0.00</w:t>
            </w:r>
          </w:p>
        </w:tc>
        <w:tc>
          <w:tcPr>
            <w:tcW w:w="769" w:type="dxa"/>
          </w:tcPr>
          <w:p>
            <w:pPr>
              <w:jc w:val="right"/>
            </w:pPr>
            <w:r>
              <w:t>0.00</w:t>
            </w:r>
          </w:p>
        </w:tc>
        <w:tc>
          <w:tcPr>
            <w:tcW w:w="769" w:type="dxa"/>
          </w:tcPr>
          <w:p>
            <w:r>
              <w:t>工业</w:t>
            </w:r>
          </w:p>
        </w:tc>
        <w:tc>
          <w:tcPr>
            <w:tcW w:w="385" w:type="dxa"/>
          </w:tcPr>
          <w:p>
            <w:r>
              <w:t>详见附表五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 w:type="dxa"/>
          </w:tcPr>
          <w:p>
            <w:r>
              <w:t>6</w:t>
            </w:r>
          </w:p>
        </w:tc>
        <w:tc>
          <w:tcPr>
            <w:tcW w:w="385" w:type="dxa"/>
          </w:tcPr>
          <w:p/>
        </w:tc>
        <w:tc>
          <w:tcPr>
            <w:tcW w:w="1923" w:type="dxa"/>
          </w:tcPr>
          <w:p>
            <w:r>
              <w:t>其他机械设备</w:t>
            </w:r>
          </w:p>
        </w:tc>
        <w:tc>
          <w:tcPr>
            <w:tcW w:w="1923" w:type="dxa"/>
          </w:tcPr>
          <w:p>
            <w:r>
              <w:t>辅助动力电池装调检测工作站</w:t>
            </w:r>
          </w:p>
        </w:tc>
        <w:tc>
          <w:tcPr>
            <w:tcW w:w="385" w:type="dxa"/>
          </w:tcPr>
          <w:p>
            <w:r>
              <w:t>套</w:t>
            </w:r>
          </w:p>
        </w:tc>
        <w:tc>
          <w:tcPr>
            <w:tcW w:w="769" w:type="dxa"/>
          </w:tcPr>
          <w:p>
            <w:pPr>
              <w:jc w:val="right"/>
            </w:pPr>
            <w:r>
              <w:t>1.0000</w:t>
            </w:r>
          </w:p>
        </w:tc>
        <w:tc>
          <w:tcPr>
            <w:tcW w:w="769" w:type="dxa"/>
          </w:tcPr>
          <w:p>
            <w:pPr>
              <w:jc w:val="right"/>
            </w:pPr>
            <w:r>
              <w:t>0.00</w:t>
            </w:r>
          </w:p>
        </w:tc>
        <w:tc>
          <w:tcPr>
            <w:tcW w:w="769" w:type="dxa"/>
          </w:tcPr>
          <w:p>
            <w:pPr>
              <w:jc w:val="right"/>
            </w:pPr>
            <w:r>
              <w:t>0.00</w:t>
            </w:r>
          </w:p>
        </w:tc>
        <w:tc>
          <w:tcPr>
            <w:tcW w:w="769" w:type="dxa"/>
          </w:tcPr>
          <w:p>
            <w:r>
              <w:t>工业</w:t>
            </w:r>
          </w:p>
        </w:tc>
        <w:tc>
          <w:tcPr>
            <w:tcW w:w="385" w:type="dxa"/>
          </w:tcPr>
          <w:p>
            <w:r>
              <w:t>详见附表六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 w:type="dxa"/>
          </w:tcPr>
          <w:p>
            <w:r>
              <w:t>7</w:t>
            </w:r>
          </w:p>
        </w:tc>
        <w:tc>
          <w:tcPr>
            <w:tcW w:w="385" w:type="dxa"/>
          </w:tcPr>
          <w:p/>
        </w:tc>
        <w:tc>
          <w:tcPr>
            <w:tcW w:w="1923" w:type="dxa"/>
          </w:tcPr>
          <w:p>
            <w:r>
              <w:t>其他机械设备</w:t>
            </w:r>
          </w:p>
        </w:tc>
        <w:tc>
          <w:tcPr>
            <w:tcW w:w="1923" w:type="dxa"/>
          </w:tcPr>
          <w:p>
            <w:r>
              <w:t>氢燃料动力电池汽车高压控制系统装调检测工作站</w:t>
            </w:r>
          </w:p>
        </w:tc>
        <w:tc>
          <w:tcPr>
            <w:tcW w:w="385" w:type="dxa"/>
          </w:tcPr>
          <w:p>
            <w:r>
              <w:t>套</w:t>
            </w:r>
          </w:p>
        </w:tc>
        <w:tc>
          <w:tcPr>
            <w:tcW w:w="769" w:type="dxa"/>
          </w:tcPr>
          <w:p>
            <w:pPr>
              <w:jc w:val="right"/>
            </w:pPr>
            <w:r>
              <w:t>1.0000</w:t>
            </w:r>
          </w:p>
        </w:tc>
        <w:tc>
          <w:tcPr>
            <w:tcW w:w="769" w:type="dxa"/>
          </w:tcPr>
          <w:p>
            <w:pPr>
              <w:jc w:val="right"/>
            </w:pPr>
            <w:r>
              <w:t>0.00</w:t>
            </w:r>
          </w:p>
        </w:tc>
        <w:tc>
          <w:tcPr>
            <w:tcW w:w="769" w:type="dxa"/>
          </w:tcPr>
          <w:p>
            <w:pPr>
              <w:jc w:val="right"/>
            </w:pPr>
            <w:r>
              <w:t>0.00</w:t>
            </w:r>
          </w:p>
        </w:tc>
        <w:tc>
          <w:tcPr>
            <w:tcW w:w="769" w:type="dxa"/>
          </w:tcPr>
          <w:p>
            <w:r>
              <w:t>工业</w:t>
            </w:r>
          </w:p>
        </w:tc>
        <w:tc>
          <w:tcPr>
            <w:tcW w:w="385" w:type="dxa"/>
          </w:tcPr>
          <w:p>
            <w:r>
              <w:t>详见附表七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 w:type="dxa"/>
          </w:tcPr>
          <w:p>
            <w:r>
              <w:t>8</w:t>
            </w:r>
          </w:p>
        </w:tc>
        <w:tc>
          <w:tcPr>
            <w:tcW w:w="385" w:type="dxa"/>
          </w:tcPr>
          <w:p/>
        </w:tc>
        <w:tc>
          <w:tcPr>
            <w:tcW w:w="1923" w:type="dxa"/>
          </w:tcPr>
          <w:p>
            <w:r>
              <w:t>其他机械设备</w:t>
            </w:r>
          </w:p>
        </w:tc>
        <w:tc>
          <w:tcPr>
            <w:tcW w:w="1923" w:type="dxa"/>
          </w:tcPr>
          <w:p>
            <w:r>
              <w:t>燃料电池驱动电机装调检测工作站</w:t>
            </w:r>
          </w:p>
        </w:tc>
        <w:tc>
          <w:tcPr>
            <w:tcW w:w="385" w:type="dxa"/>
          </w:tcPr>
          <w:p>
            <w:r>
              <w:t>套</w:t>
            </w:r>
          </w:p>
        </w:tc>
        <w:tc>
          <w:tcPr>
            <w:tcW w:w="769" w:type="dxa"/>
          </w:tcPr>
          <w:p>
            <w:pPr>
              <w:jc w:val="right"/>
            </w:pPr>
            <w:r>
              <w:t>1.0000</w:t>
            </w:r>
          </w:p>
        </w:tc>
        <w:tc>
          <w:tcPr>
            <w:tcW w:w="769" w:type="dxa"/>
          </w:tcPr>
          <w:p>
            <w:pPr>
              <w:jc w:val="right"/>
            </w:pPr>
            <w:r>
              <w:t>0.00</w:t>
            </w:r>
          </w:p>
        </w:tc>
        <w:tc>
          <w:tcPr>
            <w:tcW w:w="769" w:type="dxa"/>
          </w:tcPr>
          <w:p>
            <w:pPr>
              <w:jc w:val="right"/>
            </w:pPr>
            <w:r>
              <w:t>0.00</w:t>
            </w:r>
          </w:p>
        </w:tc>
        <w:tc>
          <w:tcPr>
            <w:tcW w:w="769" w:type="dxa"/>
          </w:tcPr>
          <w:p>
            <w:r>
              <w:t>工业</w:t>
            </w:r>
          </w:p>
        </w:tc>
        <w:tc>
          <w:tcPr>
            <w:tcW w:w="385" w:type="dxa"/>
          </w:tcPr>
          <w:p>
            <w:r>
              <w:t>详见附表八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 w:type="dxa"/>
          </w:tcPr>
          <w:p>
            <w:r>
              <w:t>9</w:t>
            </w:r>
          </w:p>
        </w:tc>
        <w:tc>
          <w:tcPr>
            <w:tcW w:w="385" w:type="dxa"/>
          </w:tcPr>
          <w:p/>
        </w:tc>
        <w:tc>
          <w:tcPr>
            <w:tcW w:w="1923" w:type="dxa"/>
          </w:tcPr>
          <w:p>
            <w:r>
              <w:t>其他货物</w:t>
            </w:r>
          </w:p>
        </w:tc>
        <w:tc>
          <w:tcPr>
            <w:tcW w:w="1923" w:type="dxa"/>
          </w:tcPr>
          <w:p>
            <w:r>
              <w:t>专业文化氛围建设</w:t>
            </w:r>
          </w:p>
        </w:tc>
        <w:tc>
          <w:tcPr>
            <w:tcW w:w="385" w:type="dxa"/>
          </w:tcPr>
          <w:p>
            <w:r>
              <w:t>项</w:t>
            </w:r>
          </w:p>
        </w:tc>
        <w:tc>
          <w:tcPr>
            <w:tcW w:w="769" w:type="dxa"/>
          </w:tcPr>
          <w:p>
            <w:pPr>
              <w:jc w:val="right"/>
            </w:pPr>
            <w:r>
              <w:t>1.0000</w:t>
            </w:r>
          </w:p>
        </w:tc>
        <w:tc>
          <w:tcPr>
            <w:tcW w:w="769" w:type="dxa"/>
          </w:tcPr>
          <w:p>
            <w:pPr>
              <w:jc w:val="right"/>
            </w:pPr>
            <w:r>
              <w:t>0.00</w:t>
            </w:r>
          </w:p>
        </w:tc>
        <w:tc>
          <w:tcPr>
            <w:tcW w:w="769" w:type="dxa"/>
          </w:tcPr>
          <w:p>
            <w:pPr>
              <w:jc w:val="right"/>
            </w:pPr>
            <w:r>
              <w:t>0.00</w:t>
            </w:r>
          </w:p>
        </w:tc>
        <w:tc>
          <w:tcPr>
            <w:tcW w:w="769" w:type="dxa"/>
          </w:tcPr>
          <w:p>
            <w:r>
              <w:t>其他未列明行业</w:t>
            </w:r>
          </w:p>
        </w:tc>
        <w:tc>
          <w:tcPr>
            <w:tcW w:w="385" w:type="dxa"/>
          </w:tcPr>
          <w:p>
            <w:r>
              <w:t>详见附表九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 w:type="dxa"/>
          </w:tcPr>
          <w:p>
            <w:r>
              <w:t>10</w:t>
            </w:r>
          </w:p>
        </w:tc>
        <w:tc>
          <w:tcPr>
            <w:tcW w:w="385" w:type="dxa"/>
          </w:tcPr>
          <w:p/>
        </w:tc>
        <w:tc>
          <w:tcPr>
            <w:tcW w:w="1923" w:type="dxa"/>
          </w:tcPr>
          <w:p>
            <w:r>
              <w:t>其他服务</w:t>
            </w:r>
          </w:p>
        </w:tc>
        <w:tc>
          <w:tcPr>
            <w:tcW w:w="1923" w:type="dxa"/>
          </w:tcPr>
          <w:p>
            <w:r>
              <w:t>氢能应用专业核心课程工学一体化教学资源开发</w:t>
            </w:r>
          </w:p>
        </w:tc>
        <w:tc>
          <w:tcPr>
            <w:tcW w:w="385" w:type="dxa"/>
          </w:tcPr>
          <w:p>
            <w:r>
              <w:t>项</w:t>
            </w:r>
          </w:p>
        </w:tc>
        <w:tc>
          <w:tcPr>
            <w:tcW w:w="769" w:type="dxa"/>
          </w:tcPr>
          <w:p>
            <w:pPr>
              <w:jc w:val="right"/>
            </w:pPr>
            <w:r>
              <w:t>1.0000</w:t>
            </w:r>
          </w:p>
        </w:tc>
        <w:tc>
          <w:tcPr>
            <w:tcW w:w="769" w:type="dxa"/>
          </w:tcPr>
          <w:p>
            <w:pPr>
              <w:jc w:val="right"/>
            </w:pPr>
            <w:r>
              <w:t>0.00</w:t>
            </w:r>
          </w:p>
        </w:tc>
        <w:tc>
          <w:tcPr>
            <w:tcW w:w="769" w:type="dxa"/>
          </w:tcPr>
          <w:p>
            <w:pPr>
              <w:jc w:val="right"/>
            </w:pPr>
            <w:r>
              <w:t>0.00</w:t>
            </w:r>
          </w:p>
        </w:tc>
        <w:tc>
          <w:tcPr>
            <w:tcW w:w="769" w:type="dxa"/>
          </w:tcPr>
          <w:p>
            <w:r>
              <w:t>其他未列明行业</w:t>
            </w:r>
          </w:p>
        </w:tc>
        <w:tc>
          <w:tcPr>
            <w:tcW w:w="385" w:type="dxa"/>
          </w:tcPr>
          <w:p>
            <w:r>
              <w:t>详见附表一十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 w:type="dxa"/>
          </w:tcPr>
          <w:p>
            <w:r>
              <w:t>11</w:t>
            </w:r>
          </w:p>
        </w:tc>
        <w:tc>
          <w:tcPr>
            <w:tcW w:w="385" w:type="dxa"/>
          </w:tcPr>
          <w:p/>
        </w:tc>
        <w:tc>
          <w:tcPr>
            <w:tcW w:w="1923" w:type="dxa"/>
          </w:tcPr>
          <w:p>
            <w:r>
              <w:t>其他服务</w:t>
            </w:r>
          </w:p>
        </w:tc>
        <w:tc>
          <w:tcPr>
            <w:tcW w:w="1923" w:type="dxa"/>
          </w:tcPr>
          <w:p>
            <w:r>
              <w:t>师资培训</w:t>
            </w:r>
          </w:p>
        </w:tc>
        <w:tc>
          <w:tcPr>
            <w:tcW w:w="385" w:type="dxa"/>
          </w:tcPr>
          <w:p>
            <w:r>
              <w:t>项</w:t>
            </w:r>
          </w:p>
        </w:tc>
        <w:tc>
          <w:tcPr>
            <w:tcW w:w="769" w:type="dxa"/>
          </w:tcPr>
          <w:p>
            <w:pPr>
              <w:jc w:val="right"/>
            </w:pPr>
            <w:r>
              <w:t>1.0000</w:t>
            </w:r>
          </w:p>
        </w:tc>
        <w:tc>
          <w:tcPr>
            <w:tcW w:w="769" w:type="dxa"/>
          </w:tcPr>
          <w:p>
            <w:pPr>
              <w:jc w:val="right"/>
            </w:pPr>
            <w:r>
              <w:t>0.00</w:t>
            </w:r>
          </w:p>
        </w:tc>
        <w:tc>
          <w:tcPr>
            <w:tcW w:w="769" w:type="dxa"/>
          </w:tcPr>
          <w:p>
            <w:pPr>
              <w:jc w:val="right"/>
            </w:pPr>
            <w:r>
              <w:t>0.00</w:t>
            </w:r>
          </w:p>
        </w:tc>
        <w:tc>
          <w:tcPr>
            <w:tcW w:w="769" w:type="dxa"/>
          </w:tcPr>
          <w:p>
            <w:r>
              <w:t>其他未列明行业</w:t>
            </w:r>
          </w:p>
        </w:tc>
        <w:tc>
          <w:tcPr>
            <w:tcW w:w="385" w:type="dxa"/>
          </w:tcPr>
          <w:p>
            <w:r>
              <w:t>详见附表一十一</w:t>
            </w:r>
          </w:p>
        </w:tc>
      </w:tr>
    </w:tbl>
    <w:p>
      <w:r>
        <w:t>注：若存在多项核心产品，当不同供应商提供的任意一项核心产品的品牌相同，则视同其是所响应核心产品品牌相同供应商。</w:t>
      </w:r>
    </w:p>
    <w:p/>
    <w:p/>
    <w:p>
      <w:r>
        <w:rPr>
          <w:b/>
          <w:sz w:val="24"/>
        </w:rPr>
        <w:t>附表一：燃料电池堆装调检测工作站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参数性质</w:t>
            </w:r>
          </w:p>
        </w:tc>
        <w:tc>
          <w:tcPr>
            <w:tcW w:w="415" w:type="dxa"/>
          </w:tcPr>
          <w:p>
            <w:r>
              <w:t>序号</w:t>
            </w:r>
          </w:p>
        </w:tc>
        <w:tc>
          <w:tcPr>
            <w:tcW w:w="5814" w:type="dxa"/>
          </w:tcPr>
          <w:p>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r>
              <w:t>1</w:t>
            </w:r>
          </w:p>
        </w:tc>
        <w:tc>
          <w:tcPr>
            <w:tcW w:w="5814" w:type="dxa"/>
          </w:tcPr>
          <w:p>
            <w:r>
              <w:rPr>
                <w:sz w:val="21"/>
              </w:rPr>
              <w:t>一、产品要求</w:t>
            </w:r>
            <w:r>
              <w:rPr>
                <w:sz w:val="20"/>
              </w:rPr>
              <w:t xml:space="preserve">  </w:t>
            </w:r>
          </w:p>
          <w:p>
            <w:pPr>
              <w:ind w:firstLine="420"/>
            </w:pPr>
            <w:r>
              <w:rPr>
                <w:sz w:val="21"/>
              </w:rPr>
              <w:t>本工作站按照燃料电池堆装调检测岗位及“氢能源应用技术课程标准”设计开发，与课程包配套使用。主要由典型主流车用由氢燃料电池堆实物、氢燃料电池堆附件、展示台、氢燃料电池控制系统等组成，可完成氢燃料电池结构、原理、检测、管理特性等教学。</w:t>
            </w:r>
          </w:p>
          <w:p>
            <w:r>
              <w:rPr>
                <w:sz w:val="21"/>
              </w:rPr>
              <w:t>二、实验实训项目</w:t>
            </w:r>
          </w:p>
          <w:p>
            <w:r>
              <w:rPr>
                <w:sz w:val="21"/>
              </w:rPr>
              <w:t>1.氢燃料电池堆结构原理认知：采用新能源汽车氢燃料电池反应堆，原理结构采用单节电池UT切割技术制作；</w:t>
            </w:r>
          </w:p>
          <w:p>
            <w:r>
              <w:rPr>
                <w:sz w:val="21"/>
              </w:rPr>
              <w:t>2.氢燃料电池堆拆装：配套专用拆装工具，完成氢燃料电池堆正确拆装实训；</w:t>
            </w:r>
          </w:p>
          <w:p>
            <w:r>
              <w:rPr>
                <w:sz w:val="21"/>
              </w:rPr>
              <w:t>3.氢燃料电池堆检测：配套专用检测工具，完成氢燃料电池堆性能检测；</w:t>
            </w:r>
          </w:p>
          <w:p>
            <w:r>
              <w:rPr>
                <w:sz w:val="21"/>
              </w:rPr>
              <w:t>三、设备技术参数:</w:t>
            </w:r>
          </w:p>
          <w:p>
            <w:r>
              <w:rPr>
                <w:sz w:val="21"/>
              </w:rPr>
              <w:t>1.车规级质子交换膜氢燃料电池堆，要求结构完整，性能正常，要求不小于30KW；燃料电池堆具体参数如下：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69"/>
              <w:gridCol w:w="899"/>
              <w:gridCol w:w="331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000000" w:sz="4" w:space="0"/>
                    <w:left w:val="single" w:color="000000" w:sz="4" w:space="0"/>
                    <w:bottom w:val="single" w:color="000000" w:sz="4" w:space="0"/>
                    <w:right w:val="single" w:color="000000" w:sz="4" w:space="0"/>
                  </w:tcBorders>
                  <w:vAlign w:val="top"/>
                </w:tcPr>
                <w:p>
                  <w:r>
                    <w:rPr>
                      <w:sz w:val="20"/>
                    </w:rPr>
                    <w:t>项目</w:t>
                  </w:r>
                </w:p>
              </w:tc>
              <w:tc>
                <w:tcPr>
                  <w:tcW w:w="899" w:type="dxa"/>
                  <w:tcBorders>
                    <w:top w:val="single" w:color="000000" w:sz="4" w:space="0"/>
                    <w:left w:val="nil"/>
                    <w:bottom w:val="single" w:color="000000" w:sz="4" w:space="0"/>
                    <w:right w:val="single" w:color="000000" w:sz="4" w:space="0"/>
                  </w:tcBorders>
                  <w:vAlign w:val="top"/>
                </w:tcPr>
                <w:p>
                  <w:r>
                    <w:rPr>
                      <w:sz w:val="20"/>
                    </w:rPr>
                    <w:t>单位</w:t>
                  </w:r>
                </w:p>
              </w:tc>
              <w:tc>
                <w:tcPr>
                  <w:tcW w:w="3318" w:type="dxa"/>
                  <w:tcBorders>
                    <w:top w:val="single" w:color="000000" w:sz="4" w:space="0"/>
                    <w:left w:val="nil"/>
                    <w:bottom w:val="single" w:color="000000" w:sz="4" w:space="0"/>
                    <w:right w:val="single" w:color="000000" w:sz="4" w:space="0"/>
                  </w:tcBorders>
                  <w:vAlign w:val="top"/>
                </w:tcPr>
                <w:p>
                  <w:r>
                    <w:rPr>
                      <w:sz w:val="20"/>
                    </w:rPr>
                    <w:t>技术参数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外型尺寸（长*宽*高）</w:t>
                  </w:r>
                </w:p>
              </w:tc>
              <w:tc>
                <w:tcPr>
                  <w:tcW w:w="899" w:type="dxa"/>
                  <w:tcBorders>
                    <w:top w:val="nil"/>
                    <w:left w:val="nil"/>
                    <w:bottom w:val="single" w:color="000000" w:sz="4" w:space="0"/>
                    <w:right w:val="single" w:color="000000" w:sz="4" w:space="0"/>
                  </w:tcBorders>
                  <w:vAlign w:val="top"/>
                </w:tcPr>
                <w:p>
                  <w:r>
                    <w:rPr>
                      <w:sz w:val="20"/>
                    </w:rPr>
                    <w:t>mm</w:t>
                  </w:r>
                </w:p>
              </w:tc>
              <w:tc>
                <w:tcPr>
                  <w:tcW w:w="3318" w:type="dxa"/>
                  <w:tcBorders>
                    <w:top w:val="nil"/>
                    <w:left w:val="nil"/>
                    <w:bottom w:val="single" w:color="000000" w:sz="4" w:space="0"/>
                    <w:right w:val="single" w:color="000000" w:sz="4" w:space="0"/>
                  </w:tcBorders>
                  <w:vAlign w:val="top"/>
                </w:tcPr>
                <w:p>
                  <w:r>
                    <w:rPr>
                      <w:sz w:val="20"/>
                    </w:rPr>
                    <w:t>1100*602*350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重量</w:t>
                  </w:r>
                </w:p>
              </w:tc>
              <w:tc>
                <w:tcPr>
                  <w:tcW w:w="899" w:type="dxa"/>
                  <w:tcBorders>
                    <w:top w:val="nil"/>
                    <w:left w:val="nil"/>
                    <w:bottom w:val="single" w:color="000000" w:sz="4" w:space="0"/>
                    <w:right w:val="single" w:color="000000" w:sz="4" w:space="0"/>
                  </w:tcBorders>
                  <w:vAlign w:val="top"/>
                </w:tcPr>
                <w:p>
                  <w:r>
                    <w:rPr>
                      <w:sz w:val="20"/>
                    </w:rPr>
                    <w:t>kg</w:t>
                  </w:r>
                </w:p>
              </w:tc>
              <w:tc>
                <w:tcPr>
                  <w:tcW w:w="3318" w:type="dxa"/>
                  <w:tcBorders>
                    <w:top w:val="nil"/>
                    <w:left w:val="nil"/>
                    <w:bottom w:val="single" w:color="000000" w:sz="4" w:space="0"/>
                    <w:right w:val="single" w:color="000000" w:sz="4" w:space="0"/>
                  </w:tcBorders>
                  <w:vAlign w:val="top"/>
                </w:tcPr>
                <w:p>
                  <w:r>
                    <w:rPr>
                      <w:sz w:val="20"/>
                    </w:rPr>
                    <w:t>180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额定功率</w:t>
                  </w:r>
                </w:p>
              </w:tc>
              <w:tc>
                <w:tcPr>
                  <w:tcW w:w="899" w:type="dxa"/>
                  <w:tcBorders>
                    <w:top w:val="nil"/>
                    <w:left w:val="nil"/>
                    <w:bottom w:val="single" w:color="000000" w:sz="4" w:space="0"/>
                    <w:right w:val="single" w:color="000000" w:sz="4" w:space="0"/>
                  </w:tcBorders>
                  <w:vAlign w:val="top"/>
                </w:tcPr>
                <w:p>
                  <w:r>
                    <w:rPr>
                      <w:sz w:val="20"/>
                    </w:rPr>
                    <w:t>kW</w:t>
                  </w:r>
                </w:p>
              </w:tc>
              <w:tc>
                <w:tcPr>
                  <w:tcW w:w="3318" w:type="dxa"/>
                  <w:tcBorders>
                    <w:top w:val="nil"/>
                    <w:left w:val="nil"/>
                    <w:bottom w:val="single" w:color="000000" w:sz="4" w:space="0"/>
                    <w:right w:val="single" w:color="000000" w:sz="4" w:space="0"/>
                  </w:tcBorders>
                  <w:vAlign w:val="top"/>
                </w:tcPr>
                <w:p>
                  <w:r>
                    <w:rPr>
                      <w:sz w:val="20"/>
                    </w:rPr>
                    <w:t>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可允许过载量</w:t>
                  </w:r>
                </w:p>
              </w:tc>
              <w:tc>
                <w:tcPr>
                  <w:tcW w:w="899" w:type="dxa"/>
                  <w:tcBorders>
                    <w:top w:val="nil"/>
                    <w:left w:val="nil"/>
                    <w:bottom w:val="single" w:color="000000" w:sz="4" w:space="0"/>
                    <w:right w:val="single" w:color="000000" w:sz="4" w:space="0"/>
                  </w:tcBorders>
                  <w:vAlign w:val="top"/>
                </w:tcPr>
                <w:p/>
              </w:tc>
              <w:tc>
                <w:tcPr>
                  <w:tcW w:w="3318" w:type="dxa"/>
                  <w:tcBorders>
                    <w:top w:val="nil"/>
                    <w:left w:val="nil"/>
                    <w:bottom w:val="single" w:color="000000" w:sz="4" w:space="0"/>
                    <w:right w:val="single" w:color="000000" w:sz="4" w:space="0"/>
                  </w:tcBorders>
                  <w:vAlign w:val="top"/>
                </w:tcPr>
                <w:p>
                  <w:r>
                    <w:rPr>
                      <w:sz w:val="20"/>
                    </w:rPr>
                    <w:t>不允许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输出电压</w:t>
                  </w:r>
                </w:p>
              </w:tc>
              <w:tc>
                <w:tcPr>
                  <w:tcW w:w="899" w:type="dxa"/>
                  <w:tcBorders>
                    <w:top w:val="nil"/>
                    <w:left w:val="nil"/>
                    <w:bottom w:val="single" w:color="000000" w:sz="4" w:space="0"/>
                    <w:right w:val="single" w:color="000000" w:sz="4" w:space="0"/>
                  </w:tcBorders>
                  <w:vAlign w:val="top"/>
                </w:tcPr>
                <w:p>
                  <w:r>
                    <w:rPr>
                      <w:sz w:val="20"/>
                    </w:rPr>
                    <w:t>V DC</w:t>
                  </w:r>
                </w:p>
              </w:tc>
              <w:tc>
                <w:tcPr>
                  <w:tcW w:w="3318" w:type="dxa"/>
                  <w:tcBorders>
                    <w:top w:val="nil"/>
                    <w:left w:val="nil"/>
                    <w:bottom w:val="single" w:color="000000" w:sz="4" w:space="0"/>
                    <w:right w:val="single" w:color="000000" w:sz="4" w:space="0"/>
                  </w:tcBorders>
                  <w:vAlign w:val="top"/>
                </w:tcPr>
                <w:p>
                  <w:r>
                    <w:rPr>
                      <w:sz w:val="20"/>
                    </w:rPr>
                    <w:t>60～120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输出电流</w:t>
                  </w:r>
                </w:p>
              </w:tc>
              <w:tc>
                <w:tcPr>
                  <w:tcW w:w="899" w:type="dxa"/>
                  <w:tcBorders>
                    <w:top w:val="nil"/>
                    <w:left w:val="nil"/>
                    <w:bottom w:val="single" w:color="000000" w:sz="4" w:space="0"/>
                    <w:right w:val="single" w:color="000000" w:sz="4" w:space="0"/>
                  </w:tcBorders>
                  <w:vAlign w:val="top"/>
                </w:tcPr>
                <w:p>
                  <w:r>
                    <w:rPr>
                      <w:sz w:val="20"/>
                    </w:rPr>
                    <w:t>A DC</w:t>
                  </w:r>
                </w:p>
              </w:tc>
              <w:tc>
                <w:tcPr>
                  <w:tcW w:w="3318" w:type="dxa"/>
                  <w:tcBorders>
                    <w:top w:val="nil"/>
                    <w:left w:val="nil"/>
                    <w:bottom w:val="single" w:color="000000" w:sz="4" w:space="0"/>
                    <w:right w:val="single" w:color="000000" w:sz="4" w:space="0"/>
                  </w:tcBorders>
                  <w:vAlign w:val="top"/>
                </w:tcPr>
                <w:p>
                  <w:r>
                    <w:rPr>
                      <w:sz w:val="20"/>
                    </w:rPr>
                    <w:t>0～500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最高效率</w:t>
                  </w:r>
                </w:p>
              </w:tc>
              <w:tc>
                <w:tcPr>
                  <w:tcW w:w="899" w:type="dxa"/>
                  <w:tcBorders>
                    <w:top w:val="nil"/>
                    <w:left w:val="nil"/>
                    <w:bottom w:val="single" w:color="000000" w:sz="4" w:space="0"/>
                    <w:right w:val="single" w:color="000000" w:sz="4" w:space="0"/>
                  </w:tcBorders>
                  <w:vAlign w:val="top"/>
                </w:tcPr>
                <w:p>
                  <w:r>
                    <w:rPr>
                      <w:sz w:val="20"/>
                    </w:rPr>
                    <w:t>%</w:t>
                  </w:r>
                </w:p>
              </w:tc>
              <w:tc>
                <w:tcPr>
                  <w:tcW w:w="3318" w:type="dxa"/>
                  <w:tcBorders>
                    <w:top w:val="nil"/>
                    <w:left w:val="nil"/>
                    <w:bottom w:val="single" w:color="000000" w:sz="4" w:space="0"/>
                    <w:right w:val="single" w:color="000000" w:sz="4" w:space="0"/>
                  </w:tcBorders>
                  <w:vAlign w:val="top"/>
                </w:tcPr>
                <w:p>
                  <w:r>
                    <w:rPr>
                      <w:sz w:val="20"/>
                    </w:rPr>
                    <w:t>53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防护等级</w:t>
                  </w:r>
                </w:p>
              </w:tc>
              <w:tc>
                <w:tcPr>
                  <w:tcW w:w="899" w:type="dxa"/>
                  <w:tcBorders>
                    <w:top w:val="nil"/>
                    <w:left w:val="nil"/>
                    <w:bottom w:val="single" w:color="000000" w:sz="4" w:space="0"/>
                    <w:right w:val="single" w:color="000000" w:sz="4" w:space="0"/>
                  </w:tcBorders>
                  <w:vAlign w:val="top"/>
                </w:tcPr>
                <w:p/>
              </w:tc>
              <w:tc>
                <w:tcPr>
                  <w:tcW w:w="3318" w:type="dxa"/>
                  <w:tcBorders>
                    <w:top w:val="nil"/>
                    <w:left w:val="nil"/>
                    <w:bottom w:val="single" w:color="000000" w:sz="4" w:space="0"/>
                    <w:right w:val="single" w:color="000000" w:sz="4" w:space="0"/>
                  </w:tcBorders>
                  <w:vAlign w:val="top"/>
                </w:tcPr>
                <w:p>
                  <w:r>
                    <w:rPr>
                      <w:sz w:val="20"/>
                    </w:rPr>
                    <w:t>IP54（局部加强后IP56）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工作温度</w:t>
                  </w:r>
                </w:p>
              </w:tc>
              <w:tc>
                <w:tcPr>
                  <w:tcW w:w="899" w:type="dxa"/>
                  <w:tcBorders>
                    <w:top w:val="nil"/>
                    <w:left w:val="nil"/>
                    <w:bottom w:val="single" w:color="000000" w:sz="4" w:space="0"/>
                    <w:right w:val="single" w:color="000000" w:sz="4" w:space="0"/>
                  </w:tcBorders>
                  <w:vAlign w:val="top"/>
                </w:tcPr>
                <w:p>
                  <w:r>
                    <w:rPr>
                      <w:sz w:val="20"/>
                    </w:rPr>
                    <w:t>℃</w:t>
                  </w:r>
                </w:p>
              </w:tc>
              <w:tc>
                <w:tcPr>
                  <w:tcW w:w="3318" w:type="dxa"/>
                  <w:tcBorders>
                    <w:top w:val="nil"/>
                    <w:left w:val="nil"/>
                    <w:bottom w:val="single" w:color="000000" w:sz="4" w:space="0"/>
                    <w:right w:val="single" w:color="000000" w:sz="4" w:space="0"/>
                  </w:tcBorders>
                  <w:vAlign w:val="top"/>
                </w:tcPr>
                <w:p>
                  <w:r>
                    <w:rPr>
                      <w:sz w:val="20"/>
                    </w:rPr>
                    <w:t>-10～40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储存温度</w:t>
                  </w:r>
                </w:p>
              </w:tc>
              <w:tc>
                <w:tcPr>
                  <w:tcW w:w="899" w:type="dxa"/>
                  <w:tcBorders>
                    <w:top w:val="nil"/>
                    <w:left w:val="nil"/>
                    <w:bottom w:val="single" w:color="000000" w:sz="4" w:space="0"/>
                    <w:right w:val="single" w:color="000000" w:sz="4" w:space="0"/>
                  </w:tcBorders>
                  <w:vAlign w:val="top"/>
                </w:tcPr>
                <w:p>
                  <w:r>
                    <w:rPr>
                      <w:sz w:val="20"/>
                    </w:rPr>
                    <w:t>℃</w:t>
                  </w:r>
                </w:p>
              </w:tc>
              <w:tc>
                <w:tcPr>
                  <w:tcW w:w="3318" w:type="dxa"/>
                  <w:tcBorders>
                    <w:top w:val="nil"/>
                    <w:left w:val="nil"/>
                    <w:bottom w:val="single" w:color="000000" w:sz="4" w:space="0"/>
                    <w:right w:val="single" w:color="000000" w:sz="4" w:space="0"/>
                  </w:tcBorders>
                  <w:vAlign w:val="top"/>
                </w:tcPr>
                <w:p>
                  <w:r>
                    <w:rPr>
                      <w:sz w:val="20"/>
                    </w:rPr>
                    <w:t>-40～65（无冷却液或冷却液为60%乙二醇水溶液）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相对湿度（操作和储存）</w:t>
                  </w:r>
                </w:p>
              </w:tc>
              <w:tc>
                <w:tcPr>
                  <w:tcW w:w="899" w:type="dxa"/>
                  <w:tcBorders>
                    <w:top w:val="nil"/>
                    <w:left w:val="nil"/>
                    <w:bottom w:val="single" w:color="000000" w:sz="4" w:space="0"/>
                    <w:right w:val="single" w:color="000000" w:sz="4" w:space="0"/>
                  </w:tcBorders>
                  <w:vAlign w:val="top"/>
                </w:tcPr>
                <w:p>
                  <w:r>
                    <w:rPr>
                      <w:sz w:val="20"/>
                    </w:rPr>
                    <w:t>%RH</w:t>
                  </w:r>
                </w:p>
              </w:tc>
              <w:tc>
                <w:tcPr>
                  <w:tcW w:w="3318" w:type="dxa"/>
                  <w:tcBorders>
                    <w:top w:val="nil"/>
                    <w:left w:val="nil"/>
                    <w:bottom w:val="single" w:color="000000" w:sz="4" w:space="0"/>
                    <w:right w:val="single" w:color="000000" w:sz="4" w:space="0"/>
                  </w:tcBorders>
                  <w:vAlign w:val="top"/>
                </w:tcPr>
                <w:p>
                  <w:r>
                    <w:rPr>
                      <w:sz w:val="20"/>
                    </w:rPr>
                    <w:t>≤95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使用海拔</w:t>
                  </w:r>
                </w:p>
              </w:tc>
              <w:tc>
                <w:tcPr>
                  <w:tcW w:w="899" w:type="dxa"/>
                  <w:tcBorders>
                    <w:top w:val="nil"/>
                    <w:left w:val="nil"/>
                    <w:bottom w:val="single" w:color="000000" w:sz="4" w:space="0"/>
                    <w:right w:val="single" w:color="000000" w:sz="4" w:space="0"/>
                  </w:tcBorders>
                  <w:vAlign w:val="top"/>
                </w:tcPr>
                <w:p>
                  <w:r>
                    <w:rPr>
                      <w:sz w:val="20"/>
                    </w:rPr>
                    <w:t>m</w:t>
                  </w:r>
                </w:p>
              </w:tc>
              <w:tc>
                <w:tcPr>
                  <w:tcW w:w="3318" w:type="dxa"/>
                  <w:tcBorders>
                    <w:top w:val="nil"/>
                    <w:left w:val="nil"/>
                    <w:bottom w:val="single" w:color="000000" w:sz="4" w:space="0"/>
                    <w:right w:val="single" w:color="000000" w:sz="4" w:space="0"/>
                  </w:tcBorders>
                  <w:vAlign w:val="top"/>
                </w:tcPr>
                <w:p>
                  <w:r>
                    <w:rPr>
                      <w:sz w:val="20"/>
                    </w:rPr>
                    <w:t>0～1600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响应时间（开机到怠速）</w:t>
                  </w:r>
                </w:p>
              </w:tc>
              <w:tc>
                <w:tcPr>
                  <w:tcW w:w="899" w:type="dxa"/>
                  <w:tcBorders>
                    <w:top w:val="nil"/>
                    <w:left w:val="nil"/>
                    <w:bottom w:val="single" w:color="000000" w:sz="4" w:space="0"/>
                    <w:right w:val="single" w:color="000000" w:sz="4" w:space="0"/>
                  </w:tcBorders>
                  <w:vAlign w:val="top"/>
                </w:tcPr>
                <w:p>
                  <w:r>
                    <w:rPr>
                      <w:sz w:val="20"/>
                    </w:rPr>
                    <w:t>s</w:t>
                  </w:r>
                </w:p>
              </w:tc>
              <w:tc>
                <w:tcPr>
                  <w:tcW w:w="3318" w:type="dxa"/>
                  <w:tcBorders>
                    <w:top w:val="nil"/>
                    <w:left w:val="nil"/>
                    <w:bottom w:val="single" w:color="000000" w:sz="4" w:space="0"/>
                    <w:right w:val="single" w:color="000000" w:sz="4" w:space="0"/>
                  </w:tcBorders>
                  <w:vAlign w:val="top"/>
                </w:tcPr>
                <w:p>
                  <w:r>
                    <w:rPr>
                      <w:sz w:val="20"/>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响应时间（怠速到满载）</w:t>
                  </w:r>
                </w:p>
              </w:tc>
              <w:tc>
                <w:tcPr>
                  <w:tcW w:w="899" w:type="dxa"/>
                  <w:tcBorders>
                    <w:top w:val="nil"/>
                    <w:left w:val="nil"/>
                    <w:bottom w:val="single" w:color="000000" w:sz="4" w:space="0"/>
                    <w:right w:val="single" w:color="000000" w:sz="4" w:space="0"/>
                  </w:tcBorders>
                  <w:vAlign w:val="top"/>
                </w:tcPr>
                <w:p>
                  <w:r>
                    <w:rPr>
                      <w:sz w:val="20"/>
                    </w:rPr>
                    <w:t>s</w:t>
                  </w:r>
                </w:p>
              </w:tc>
              <w:tc>
                <w:tcPr>
                  <w:tcW w:w="3318" w:type="dxa"/>
                  <w:tcBorders>
                    <w:top w:val="nil"/>
                    <w:left w:val="nil"/>
                    <w:bottom w:val="single" w:color="000000" w:sz="4" w:space="0"/>
                    <w:right w:val="single" w:color="000000" w:sz="4" w:space="0"/>
                  </w:tcBorders>
                  <w:vAlign w:val="top"/>
                </w:tcPr>
                <w:p>
                  <w:r>
                    <w:rPr>
                      <w:sz w:val="20"/>
                    </w:rPr>
                    <w:t>≤20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冷启动时间</w:t>
                  </w:r>
                </w:p>
              </w:tc>
              <w:tc>
                <w:tcPr>
                  <w:tcW w:w="899" w:type="dxa"/>
                  <w:tcBorders>
                    <w:top w:val="nil"/>
                    <w:left w:val="nil"/>
                    <w:bottom w:val="single" w:color="000000" w:sz="4" w:space="0"/>
                    <w:right w:val="single" w:color="000000" w:sz="4" w:space="0"/>
                  </w:tcBorders>
                  <w:vAlign w:val="top"/>
                </w:tcPr>
                <w:p>
                  <w:r>
                    <w:rPr>
                      <w:sz w:val="20"/>
                    </w:rPr>
                    <w:t>s</w:t>
                  </w:r>
                </w:p>
              </w:tc>
              <w:tc>
                <w:tcPr>
                  <w:tcW w:w="3318" w:type="dxa"/>
                  <w:tcBorders>
                    <w:top w:val="nil"/>
                    <w:left w:val="nil"/>
                    <w:bottom w:val="single" w:color="000000" w:sz="4" w:space="0"/>
                    <w:right w:val="single" w:color="000000" w:sz="4" w:space="0"/>
                  </w:tcBorders>
                  <w:vAlign w:val="top"/>
                </w:tcPr>
                <w:p>
                  <w:r>
                    <w:rPr>
                      <w:sz w:val="20"/>
                    </w:rPr>
                    <w:t>≤300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对外接口</w:t>
                  </w:r>
                </w:p>
              </w:tc>
              <w:tc>
                <w:tcPr>
                  <w:tcW w:w="899" w:type="dxa"/>
                  <w:tcBorders>
                    <w:top w:val="nil"/>
                    <w:left w:val="nil"/>
                    <w:bottom w:val="single" w:color="000000" w:sz="4" w:space="0"/>
                    <w:right w:val="single" w:color="000000" w:sz="4" w:space="0"/>
                  </w:tcBorders>
                  <w:vAlign w:val="top"/>
                </w:tcPr>
                <w:p/>
              </w:tc>
              <w:tc>
                <w:tcPr>
                  <w:tcW w:w="3318" w:type="dxa"/>
                  <w:tcBorders>
                    <w:top w:val="nil"/>
                    <w:left w:val="nil"/>
                    <w:bottom w:val="single" w:color="000000" w:sz="4" w:space="0"/>
                    <w:right w:val="single" w:color="000000" w:sz="4" w:space="0"/>
                  </w:tcBorders>
                  <w:vAlign w:val="top"/>
                </w:tcPr>
                <w:p>
                  <w:r>
                    <w:rPr>
                      <w:sz w:val="20"/>
                    </w:rPr>
                    <w:t>见3.5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空气供应气量</w:t>
                  </w:r>
                </w:p>
              </w:tc>
              <w:tc>
                <w:tcPr>
                  <w:tcW w:w="899" w:type="dxa"/>
                  <w:tcBorders>
                    <w:top w:val="nil"/>
                    <w:left w:val="nil"/>
                    <w:bottom w:val="single" w:color="000000" w:sz="4" w:space="0"/>
                    <w:right w:val="single" w:color="000000" w:sz="4" w:space="0"/>
                  </w:tcBorders>
                  <w:vAlign w:val="top"/>
                </w:tcPr>
                <w:p>
                  <w:r>
                    <w:rPr>
                      <w:sz w:val="20"/>
                    </w:rPr>
                    <w:t>L/min</w:t>
                  </w:r>
                </w:p>
              </w:tc>
              <w:tc>
                <w:tcPr>
                  <w:tcW w:w="3318" w:type="dxa"/>
                  <w:tcBorders>
                    <w:top w:val="nil"/>
                    <w:left w:val="nil"/>
                    <w:bottom w:val="single" w:color="000000" w:sz="4" w:space="0"/>
                    <w:right w:val="single" w:color="000000" w:sz="4" w:space="0"/>
                  </w:tcBorders>
                  <w:vAlign w:val="top"/>
                </w:tcPr>
                <w:p>
                  <w:r>
                    <w:rPr>
                      <w:sz w:val="20"/>
                    </w:rPr>
                    <w:t>≤2500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氢气供应气量</w:t>
                  </w:r>
                </w:p>
              </w:tc>
              <w:tc>
                <w:tcPr>
                  <w:tcW w:w="899" w:type="dxa"/>
                  <w:tcBorders>
                    <w:top w:val="nil"/>
                    <w:left w:val="nil"/>
                    <w:bottom w:val="single" w:color="000000" w:sz="4" w:space="0"/>
                    <w:right w:val="single" w:color="000000" w:sz="4" w:space="0"/>
                  </w:tcBorders>
                  <w:vAlign w:val="top"/>
                </w:tcPr>
                <w:p>
                  <w:r>
                    <w:rPr>
                      <w:sz w:val="20"/>
                    </w:rPr>
                    <w:t>L/min</w:t>
                  </w:r>
                </w:p>
              </w:tc>
              <w:tc>
                <w:tcPr>
                  <w:tcW w:w="3318" w:type="dxa"/>
                  <w:tcBorders>
                    <w:top w:val="nil"/>
                    <w:left w:val="nil"/>
                    <w:bottom w:val="single" w:color="000000" w:sz="4" w:space="0"/>
                    <w:right w:val="single" w:color="000000" w:sz="4" w:space="0"/>
                  </w:tcBorders>
                  <w:vAlign w:val="top"/>
                </w:tcPr>
                <w:p>
                  <w:r>
                    <w:rPr>
                      <w:sz w:val="20"/>
                    </w:rPr>
                    <w:t>≤500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尾排方式</w:t>
                  </w:r>
                </w:p>
              </w:tc>
              <w:tc>
                <w:tcPr>
                  <w:tcW w:w="899" w:type="dxa"/>
                  <w:tcBorders>
                    <w:top w:val="nil"/>
                    <w:left w:val="nil"/>
                    <w:bottom w:val="single" w:color="000000" w:sz="4" w:space="0"/>
                    <w:right w:val="single" w:color="000000" w:sz="4" w:space="0"/>
                  </w:tcBorders>
                  <w:vAlign w:val="top"/>
                </w:tcPr>
                <w:p/>
              </w:tc>
              <w:tc>
                <w:tcPr>
                  <w:tcW w:w="3318" w:type="dxa"/>
                  <w:tcBorders>
                    <w:top w:val="nil"/>
                    <w:left w:val="nil"/>
                    <w:bottom w:val="single" w:color="000000" w:sz="4" w:space="0"/>
                    <w:right w:val="single" w:color="000000" w:sz="4" w:space="0"/>
                  </w:tcBorders>
                  <w:vAlign w:val="top"/>
                </w:tcPr>
                <w:p>
                  <w:r>
                    <w:rPr>
                      <w:sz w:val="20"/>
                    </w:rPr>
                    <w:t>氢空混排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冷却方式</w:t>
                  </w:r>
                </w:p>
              </w:tc>
              <w:tc>
                <w:tcPr>
                  <w:tcW w:w="899" w:type="dxa"/>
                  <w:tcBorders>
                    <w:top w:val="nil"/>
                    <w:left w:val="nil"/>
                    <w:bottom w:val="single" w:color="000000" w:sz="4" w:space="0"/>
                    <w:right w:val="single" w:color="000000" w:sz="4" w:space="0"/>
                  </w:tcBorders>
                  <w:vAlign w:val="top"/>
                </w:tcPr>
                <w:p/>
              </w:tc>
              <w:tc>
                <w:tcPr>
                  <w:tcW w:w="3318" w:type="dxa"/>
                  <w:tcBorders>
                    <w:top w:val="nil"/>
                    <w:left w:val="nil"/>
                    <w:bottom w:val="single" w:color="000000" w:sz="4" w:space="0"/>
                    <w:right w:val="single" w:color="000000" w:sz="4" w:space="0"/>
                  </w:tcBorders>
                  <w:vAlign w:val="top"/>
                </w:tcPr>
                <w:p>
                  <w:r>
                    <w:rPr>
                      <w:sz w:val="20"/>
                    </w:rPr>
                    <w:t>水冷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冷却液介质</w:t>
                  </w:r>
                </w:p>
              </w:tc>
              <w:tc>
                <w:tcPr>
                  <w:tcW w:w="899" w:type="dxa"/>
                  <w:tcBorders>
                    <w:top w:val="nil"/>
                    <w:left w:val="nil"/>
                    <w:bottom w:val="single" w:color="000000" w:sz="4" w:space="0"/>
                    <w:right w:val="single" w:color="000000" w:sz="4" w:space="0"/>
                  </w:tcBorders>
                  <w:vAlign w:val="top"/>
                </w:tcPr>
                <w:p/>
              </w:tc>
              <w:tc>
                <w:tcPr>
                  <w:tcW w:w="3318" w:type="dxa"/>
                  <w:tcBorders>
                    <w:top w:val="nil"/>
                    <w:left w:val="nil"/>
                    <w:bottom w:val="single" w:color="000000" w:sz="4" w:space="0"/>
                    <w:right w:val="single" w:color="000000" w:sz="4" w:space="0"/>
                  </w:tcBorders>
                  <w:vAlign w:val="top"/>
                </w:tcPr>
                <w:p>
                  <w:r>
                    <w:rPr>
                      <w:sz w:val="20"/>
                    </w:rPr>
                    <w:t>去离子水或乙二醇水溶液(FC专用)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供电电压</w:t>
                  </w:r>
                </w:p>
              </w:tc>
              <w:tc>
                <w:tcPr>
                  <w:tcW w:w="899" w:type="dxa"/>
                  <w:tcBorders>
                    <w:top w:val="nil"/>
                    <w:left w:val="nil"/>
                    <w:bottom w:val="single" w:color="000000" w:sz="4" w:space="0"/>
                    <w:right w:val="single" w:color="000000" w:sz="4" w:space="0"/>
                  </w:tcBorders>
                  <w:vAlign w:val="top"/>
                </w:tcPr>
                <w:p>
                  <w:r>
                    <w:rPr>
                      <w:sz w:val="20"/>
                    </w:rPr>
                    <w:t>V DC</w:t>
                  </w:r>
                </w:p>
              </w:tc>
              <w:tc>
                <w:tcPr>
                  <w:tcW w:w="3318" w:type="dxa"/>
                  <w:tcBorders>
                    <w:top w:val="nil"/>
                    <w:left w:val="nil"/>
                    <w:bottom w:val="single" w:color="000000" w:sz="4" w:space="0"/>
                    <w:right w:val="single" w:color="000000" w:sz="4" w:space="0"/>
                  </w:tcBorders>
                  <w:vAlign w:val="top"/>
                </w:tcPr>
                <w:p>
                  <w:r>
                    <w:rPr>
                      <w:sz w:val="20"/>
                    </w:rPr>
                    <w:t>24,(18～32)V</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通讯方式</w:t>
                  </w:r>
                </w:p>
              </w:tc>
              <w:tc>
                <w:tcPr>
                  <w:tcW w:w="899" w:type="dxa"/>
                  <w:tcBorders>
                    <w:top w:val="nil"/>
                    <w:left w:val="nil"/>
                    <w:bottom w:val="single" w:color="000000" w:sz="4" w:space="0"/>
                    <w:right w:val="single" w:color="000000" w:sz="4" w:space="0"/>
                  </w:tcBorders>
                  <w:vAlign w:val="top"/>
                </w:tcPr>
                <w:p/>
              </w:tc>
              <w:tc>
                <w:tcPr>
                  <w:tcW w:w="3318" w:type="dxa"/>
                  <w:tcBorders>
                    <w:top w:val="nil"/>
                    <w:left w:val="nil"/>
                    <w:bottom w:val="single" w:color="000000" w:sz="4" w:space="0"/>
                    <w:right w:val="single" w:color="000000" w:sz="4" w:space="0"/>
                  </w:tcBorders>
                  <w:vAlign w:val="top"/>
                </w:tcPr>
                <w:p>
                  <w:r>
                    <w:rPr>
                      <w:sz w:val="20"/>
                    </w:rPr>
                    <w:t>CAN Bus v2.0B(29bit),250Kpbs</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vAlign w:val="top"/>
                </w:tcPr>
                <w:p>
                  <w:r>
                    <w:rPr>
                      <w:sz w:val="20"/>
                    </w:rPr>
                    <w:t>数据采集</w:t>
                  </w:r>
                </w:p>
              </w:tc>
              <w:tc>
                <w:tcPr>
                  <w:tcW w:w="899" w:type="dxa"/>
                  <w:tcBorders>
                    <w:top w:val="nil"/>
                    <w:left w:val="nil"/>
                    <w:bottom w:val="single" w:color="000000" w:sz="4" w:space="0"/>
                    <w:right w:val="single" w:color="000000" w:sz="4" w:space="0"/>
                  </w:tcBorders>
                  <w:vAlign w:val="top"/>
                </w:tcPr>
                <w:p/>
              </w:tc>
              <w:tc>
                <w:tcPr>
                  <w:tcW w:w="3318" w:type="dxa"/>
                  <w:tcBorders>
                    <w:top w:val="nil"/>
                    <w:left w:val="nil"/>
                    <w:bottom w:val="single" w:color="000000" w:sz="4" w:space="0"/>
                    <w:right w:val="single" w:color="000000" w:sz="4" w:space="0"/>
                  </w:tcBorders>
                  <w:vAlign w:val="top"/>
                </w:tcPr>
                <w:p>
                  <w:r>
                    <w:rPr>
                      <w:sz w:val="20"/>
                    </w:rPr>
                    <w:t>远程数据采集模块</w:t>
                  </w:r>
                </w:p>
              </w:tc>
            </w:tr>
          </w:tbl>
          <w:p/>
          <w:p>
            <w:r>
              <w:rPr>
                <w:sz w:val="21"/>
              </w:rPr>
              <w:t>2.氢燃料动力电池堆拆装检测专用工具:（满足国鸿氢能燃料电池堆维护岗位要求）.</w:t>
            </w:r>
          </w:p>
          <w:p>
            <w:r>
              <w:rPr>
                <w:sz w:val="21"/>
              </w:rPr>
              <w:t>3.外形尺寸：约1400mm×700mm×1200mm（长×宽×高）；</w:t>
            </w:r>
          </w:p>
          <w:p>
            <w:r>
              <w:rPr>
                <w:sz w:val="21"/>
              </w:rPr>
              <w:t>4.外接电源：220V交流电压；</w:t>
            </w:r>
          </w:p>
          <w:p>
            <w:r>
              <w:rPr>
                <w:sz w:val="21"/>
              </w:rPr>
              <w:t>四、教学支持</w:t>
            </w:r>
          </w:p>
          <w:p>
            <w:r>
              <w:rPr>
                <w:sz w:val="21"/>
              </w:rPr>
              <w:t>1、配有氢燃料电池堆工作原理、结构、动态检测教学演示，要求采用FLASH软件制作，可完成反应堆的发电过程、放电过程、性能检测的动态演示，配合新能源汽车电池及管理系统的检修课程标准的基础学习。</w:t>
            </w:r>
          </w:p>
          <w:p>
            <w:r>
              <w:rPr>
                <w:sz w:val="21"/>
              </w:rPr>
              <w:t>2、教学支持：为满足一体化教学要求，必须配套与主流氢燃料应用企业实际工作岗位要求编写的《氢燃料动力电池拆装检修作业指导书》，要求按照制造厂家的培训标准及工学一体教学实施进行开发，包括但不少于以下内容：</w:t>
            </w:r>
          </w:p>
          <w:p>
            <w:r>
              <w:rPr>
                <w:sz w:val="21"/>
              </w:rPr>
              <w:t>1）氢燃料动力电池结构</w:t>
            </w:r>
          </w:p>
          <w:p>
            <w:r>
              <w:rPr>
                <w:sz w:val="21"/>
              </w:rPr>
              <w:t>2）氢燃料动力电池的工作原理</w:t>
            </w:r>
          </w:p>
          <w:p>
            <w:r>
              <w:rPr>
                <w:sz w:val="21"/>
              </w:rPr>
              <w:t>3）氢燃料动力电池的检修</w:t>
            </w:r>
          </w:p>
          <w:p>
            <w:r>
              <w:rPr>
                <w:sz w:val="21"/>
              </w:rPr>
              <w:t>五、教学实验展示台：</w:t>
            </w:r>
          </w:p>
          <w:p>
            <w:r>
              <w:rPr>
                <w:sz w:val="21"/>
              </w:rPr>
              <w:t>1.展示元件内部结构，带灯光控制，元件用线切割剖面处理，能清楚表达内部结构和传动关系，直接展示工作过程，各部件的构造和安装。</w:t>
            </w:r>
          </w:p>
          <w:p>
            <w:r>
              <w:rPr>
                <w:sz w:val="21"/>
              </w:rPr>
              <w:t>2.利用不同颜色进行高低压区分，采用亚克力印刷标注。</w:t>
            </w:r>
          </w:p>
          <w:p>
            <w:r>
              <w:rPr>
                <w:sz w:val="21"/>
              </w:rPr>
              <w:t>3.配有多功能开发板：开发板采用磁吸端子供电，易于拆卸，亦可通过USB供电，用于完成整个实训室台架的通讯连接，实现联动控制，开发板采用C/C++编程语言+单片机技术完成的硬件模块，支持CAN通讯、UAST通讯、SPI通讯、I2C通讯、ADC采集、IO控制等功能；支持控制各种控制模块、通讯模块、显示模块等，可DIY不同的功能。</w:t>
            </w:r>
          </w:p>
          <w:p>
            <w:r>
              <w:rPr>
                <w:sz w:val="21"/>
              </w:rPr>
              <w:t>▲ 4.标书中，提供《氢燃料动力电池拆装检修作业指导书》样册。</w:t>
            </w:r>
          </w:p>
          <w:p>
            <w:r>
              <w:rPr>
                <w:sz w:val="21"/>
              </w:rPr>
              <w:t>元件参考图片:</w:t>
            </w:r>
          </w:p>
          <w:p>
            <w:r>
              <w:drawing>
                <wp:inline distT="0" distB="0" distL="0" distR="0">
                  <wp:extent cx="3554095" cy="4152900"/>
                  <wp:effectExtent l="0" t="0" r="8255" b="0"/>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3554729" cy="4152900"/>
                          </a:xfrm>
                          <a:prstGeom prst="rect">
                            <a:avLst/>
                          </a:prstGeom>
                        </pic:spPr>
                      </pic:pic>
                    </a:graphicData>
                  </a:graphic>
                </wp:inline>
              </w:drawing>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说明</w:t>
            </w:r>
          </w:p>
        </w:tc>
        <w:tc>
          <w:tcPr>
            <w:tcW w:w="6229" w:type="dxa"/>
            <w:gridSpan w:val="2"/>
          </w:tcPr>
          <w:p>
            <w:pPr>
              <w:jc w:val="left"/>
            </w:pPr>
            <w:r>
              <w:t>打“★”号条款为实质性条款，若有任何一条负偏离或不满足则导致投标（响应）无效。</w:t>
            </w:r>
            <w:r>
              <w:br w:type="textWrapping"/>
            </w:r>
            <w:r>
              <w:t>打“▲”号条款为重要技术参数（如有），若有部分“▲”条款未响应或不满足，将根据评审要求影响其得分，但不作为无效投标（响应）条款。</w:t>
            </w:r>
          </w:p>
        </w:tc>
      </w:tr>
    </w:tbl>
    <w:p/>
    <w:p>
      <w:r>
        <w:rPr>
          <w:b/>
          <w:sz w:val="24"/>
        </w:rPr>
        <w:t>附表二：燃料电池系统DC-DC 变换器装调检测工作站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参数性质</w:t>
            </w:r>
          </w:p>
        </w:tc>
        <w:tc>
          <w:tcPr>
            <w:tcW w:w="415" w:type="dxa"/>
          </w:tcPr>
          <w:p>
            <w:r>
              <w:t>序号</w:t>
            </w:r>
          </w:p>
        </w:tc>
        <w:tc>
          <w:tcPr>
            <w:tcW w:w="5814" w:type="dxa"/>
          </w:tcPr>
          <w:p>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r>
              <w:t>1</w:t>
            </w:r>
          </w:p>
        </w:tc>
        <w:tc>
          <w:tcPr>
            <w:tcW w:w="5814" w:type="dxa"/>
          </w:tcPr>
          <w:p>
            <w:r>
              <w:rPr>
                <w:sz w:val="21"/>
              </w:rPr>
              <w:t>一、产品要求</w:t>
            </w:r>
            <w:r>
              <w:rPr>
                <w:sz w:val="20"/>
              </w:rPr>
              <w:t xml:space="preserve">  </w:t>
            </w:r>
          </w:p>
          <w:p>
            <w:pPr>
              <w:ind w:firstLine="420"/>
            </w:pPr>
            <w:r>
              <w:rPr>
                <w:sz w:val="21"/>
              </w:rPr>
              <w:t>本工作站按照燃料电池系统DC-DC 变换器装调检测岗位及“氢能源应用技术课程标准”设计开发，与课程包配套使用。主要由典型主流车用由氢燃料电池DC-DC变换器实物、展示台、控制系统等组成，可完成氢燃料电池DC-DC结构、原理、检测、管理特性等教学。</w:t>
            </w:r>
          </w:p>
          <w:p>
            <w:r>
              <w:rPr>
                <w:sz w:val="21"/>
              </w:rPr>
              <w:t>二、实验实训项目</w:t>
            </w:r>
          </w:p>
          <w:p>
            <w:r>
              <w:rPr>
                <w:sz w:val="21"/>
              </w:rPr>
              <w:t>1.氢燃料电池DC-DC变换器结构原理认知：采用新能源汽车氢燃料电池DC-DC变换器，采用切割技术制作，完成DC-DC变换器结构与工作原理学习；</w:t>
            </w:r>
          </w:p>
          <w:p>
            <w:r>
              <w:rPr>
                <w:sz w:val="21"/>
              </w:rPr>
              <w:t>2.氢燃料电池堆DC-DC变换器拆装：配套专用拆装工具，完成氢燃料DC-DC变换器堆正确拆装实训；</w:t>
            </w:r>
          </w:p>
          <w:p>
            <w:r>
              <w:rPr>
                <w:sz w:val="21"/>
              </w:rPr>
              <w:t>3.氢燃料电池堆DC-DC变换器实验：配套专用拆装实验设备，完成DC-DC变换器技术参数的检测及数据分析；</w:t>
            </w:r>
          </w:p>
          <w:p>
            <w:r>
              <w:rPr>
                <w:sz w:val="21"/>
              </w:rPr>
              <w:t>三、技术参数:DC/DC作为氢燃料电池发动机系统的关键部件，实现了燃料电池和整车高压母线之间的电压解耦，主要用于氢燃料电池发动机的输出功率控制。通过对燃料电池发动机功率的精确控制，实现了整车动力系统之间的功率分配以及优化控制。其参数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400"/>
              <w:gridCol w:w="274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000000" w:sz="4" w:space="0"/>
                    <w:left w:val="single" w:color="000000" w:sz="4" w:space="0"/>
                    <w:bottom w:val="single" w:color="000000" w:sz="4" w:space="0"/>
                    <w:right w:val="single" w:color="000000" w:sz="4" w:space="0"/>
                  </w:tcBorders>
                  <w:vAlign w:val="top"/>
                </w:tcPr>
                <w:p>
                  <w:pPr>
                    <w:jc w:val="left"/>
                  </w:pPr>
                  <w:r>
                    <w:rPr>
                      <w:sz w:val="21"/>
                    </w:rPr>
                    <w:t>额定输入功率</w:t>
                  </w:r>
                </w:p>
              </w:tc>
              <w:tc>
                <w:tcPr>
                  <w:tcW w:w="2745" w:type="dxa"/>
                  <w:tcBorders>
                    <w:top w:val="single" w:color="000000" w:sz="4" w:space="0"/>
                    <w:left w:val="nil"/>
                    <w:bottom w:val="single" w:color="000000" w:sz="4" w:space="0"/>
                    <w:right w:val="single" w:color="000000" w:sz="4" w:space="0"/>
                  </w:tcBorders>
                  <w:vAlign w:val="top"/>
                </w:tcPr>
                <w:p>
                  <w:pPr>
                    <w:jc w:val="left"/>
                  </w:pPr>
                  <w:r>
                    <w:rPr>
                      <w:sz w:val="21"/>
                    </w:rPr>
                    <w:t>30kW</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0" w:type="dxa"/>
                  <w:tcBorders>
                    <w:top w:val="nil"/>
                    <w:left w:val="single" w:color="000000" w:sz="4" w:space="0"/>
                    <w:bottom w:val="single" w:color="000000" w:sz="4" w:space="0"/>
                    <w:right w:val="single" w:color="000000" w:sz="4" w:space="0"/>
                  </w:tcBorders>
                  <w:vAlign w:val="top"/>
                </w:tcPr>
                <w:p>
                  <w:pPr>
                    <w:jc w:val="left"/>
                  </w:pPr>
                  <w:r>
                    <w:rPr>
                      <w:sz w:val="21"/>
                    </w:rPr>
                    <w:t>输入电压范围</w:t>
                  </w:r>
                </w:p>
              </w:tc>
              <w:tc>
                <w:tcPr>
                  <w:tcW w:w="2745" w:type="dxa"/>
                  <w:tcBorders>
                    <w:top w:val="nil"/>
                    <w:left w:val="nil"/>
                    <w:bottom w:val="single" w:color="000000" w:sz="4" w:space="0"/>
                    <w:right w:val="single" w:color="000000" w:sz="4" w:space="0"/>
                  </w:tcBorders>
                  <w:vAlign w:val="top"/>
                </w:tcPr>
                <w:p>
                  <w:pPr>
                    <w:jc w:val="left"/>
                  </w:pPr>
                  <w:r>
                    <w:rPr>
                      <w:sz w:val="21"/>
                    </w:rPr>
                    <w:t>60V～180V（DC）</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0" w:type="dxa"/>
                  <w:tcBorders>
                    <w:top w:val="nil"/>
                    <w:left w:val="single" w:color="000000" w:sz="4" w:space="0"/>
                    <w:bottom w:val="single" w:color="000000" w:sz="4" w:space="0"/>
                    <w:right w:val="single" w:color="000000" w:sz="4" w:space="0"/>
                  </w:tcBorders>
                  <w:vAlign w:val="top"/>
                </w:tcPr>
                <w:p>
                  <w:pPr>
                    <w:jc w:val="left"/>
                  </w:pPr>
                  <w:r>
                    <w:rPr>
                      <w:sz w:val="21"/>
                    </w:rPr>
                    <w:t>最高输出电压</w:t>
                  </w:r>
                </w:p>
              </w:tc>
              <w:tc>
                <w:tcPr>
                  <w:tcW w:w="2745" w:type="dxa"/>
                  <w:tcBorders>
                    <w:top w:val="nil"/>
                    <w:left w:val="nil"/>
                    <w:bottom w:val="single" w:color="000000" w:sz="4" w:space="0"/>
                    <w:right w:val="single" w:color="000000" w:sz="4" w:space="0"/>
                  </w:tcBorders>
                  <w:vAlign w:val="top"/>
                </w:tcPr>
                <w:p>
                  <w:pPr>
                    <w:jc w:val="left"/>
                  </w:pPr>
                  <w:r>
                    <w:rPr>
                      <w:sz w:val="21"/>
                    </w:rPr>
                    <w:t>720V(DC)</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0" w:type="dxa"/>
                  <w:tcBorders>
                    <w:top w:val="nil"/>
                    <w:left w:val="single" w:color="000000" w:sz="4" w:space="0"/>
                    <w:bottom w:val="single" w:color="000000" w:sz="4" w:space="0"/>
                    <w:right w:val="single" w:color="000000" w:sz="4" w:space="0"/>
                  </w:tcBorders>
                  <w:vAlign w:val="top"/>
                </w:tcPr>
                <w:p>
                  <w:pPr>
                    <w:jc w:val="left"/>
                  </w:pPr>
                  <w:r>
                    <w:rPr>
                      <w:sz w:val="21"/>
                    </w:rPr>
                    <w:t>最大输入电流</w:t>
                  </w:r>
                </w:p>
              </w:tc>
              <w:tc>
                <w:tcPr>
                  <w:tcW w:w="2745" w:type="dxa"/>
                  <w:tcBorders>
                    <w:top w:val="nil"/>
                    <w:left w:val="nil"/>
                    <w:bottom w:val="single" w:color="000000" w:sz="4" w:space="0"/>
                    <w:right w:val="single" w:color="000000" w:sz="4" w:space="0"/>
                  </w:tcBorders>
                  <w:vAlign w:val="top"/>
                </w:tcPr>
                <w:p>
                  <w:pPr>
                    <w:jc w:val="left"/>
                  </w:pPr>
                  <w:r>
                    <w:rPr>
                      <w:sz w:val="21"/>
                    </w:rPr>
                    <w:t>500A</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0" w:type="dxa"/>
                  <w:tcBorders>
                    <w:top w:val="nil"/>
                    <w:left w:val="single" w:color="000000" w:sz="4" w:space="0"/>
                    <w:bottom w:val="single" w:color="000000" w:sz="4" w:space="0"/>
                    <w:right w:val="single" w:color="000000" w:sz="4" w:space="0"/>
                  </w:tcBorders>
                  <w:vAlign w:val="top"/>
                </w:tcPr>
                <w:p>
                  <w:pPr>
                    <w:jc w:val="left"/>
                  </w:pPr>
                  <w:r>
                    <w:rPr>
                      <w:sz w:val="21"/>
                    </w:rPr>
                    <w:t>工作温度</w:t>
                  </w:r>
                </w:p>
              </w:tc>
              <w:tc>
                <w:tcPr>
                  <w:tcW w:w="2745" w:type="dxa"/>
                  <w:tcBorders>
                    <w:top w:val="nil"/>
                    <w:left w:val="nil"/>
                    <w:bottom w:val="single" w:color="000000" w:sz="4" w:space="0"/>
                    <w:right w:val="single" w:color="000000" w:sz="4" w:space="0"/>
                  </w:tcBorders>
                  <w:vAlign w:val="top"/>
                </w:tcPr>
                <w:p>
                  <w:pPr>
                    <w:jc w:val="left"/>
                  </w:pPr>
                  <w:r>
                    <w:rPr>
                      <w:sz w:val="21"/>
                    </w:rPr>
                    <w:t>-20℃～60℃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0" w:type="dxa"/>
                  <w:tcBorders>
                    <w:top w:val="nil"/>
                    <w:left w:val="single" w:color="000000" w:sz="4" w:space="0"/>
                    <w:bottom w:val="single" w:color="000000" w:sz="4" w:space="0"/>
                    <w:right w:val="single" w:color="000000" w:sz="4" w:space="0"/>
                  </w:tcBorders>
                  <w:vAlign w:val="top"/>
                </w:tcPr>
                <w:p>
                  <w:pPr>
                    <w:jc w:val="left"/>
                  </w:pPr>
                  <w:r>
                    <w:rPr>
                      <w:sz w:val="21"/>
                    </w:rPr>
                    <w:t>存储温度</w:t>
                  </w:r>
                </w:p>
              </w:tc>
              <w:tc>
                <w:tcPr>
                  <w:tcW w:w="2745" w:type="dxa"/>
                  <w:tcBorders>
                    <w:top w:val="nil"/>
                    <w:left w:val="nil"/>
                    <w:bottom w:val="single" w:color="000000" w:sz="4" w:space="0"/>
                    <w:right w:val="single" w:color="000000" w:sz="4" w:space="0"/>
                  </w:tcBorders>
                  <w:vAlign w:val="top"/>
                </w:tcPr>
                <w:p>
                  <w:pPr>
                    <w:jc w:val="left"/>
                  </w:pPr>
                  <w:r>
                    <w:rPr>
                      <w:sz w:val="21"/>
                    </w:rPr>
                    <w:t>-30℃～70℃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0" w:type="dxa"/>
                  <w:tcBorders>
                    <w:top w:val="nil"/>
                    <w:left w:val="single" w:color="000000" w:sz="4" w:space="0"/>
                    <w:bottom w:val="single" w:color="000000" w:sz="4" w:space="0"/>
                    <w:right w:val="single" w:color="000000" w:sz="4" w:space="0"/>
                  </w:tcBorders>
                  <w:vAlign w:val="top"/>
                </w:tcPr>
                <w:p>
                  <w:pPr>
                    <w:jc w:val="left"/>
                  </w:pPr>
                  <w:r>
                    <w:rPr>
                      <w:sz w:val="21"/>
                    </w:rPr>
                    <w:t>最大变比</w:t>
                  </w:r>
                </w:p>
              </w:tc>
              <w:tc>
                <w:tcPr>
                  <w:tcW w:w="2745" w:type="dxa"/>
                  <w:tcBorders>
                    <w:top w:val="nil"/>
                    <w:left w:val="nil"/>
                    <w:bottom w:val="single" w:color="000000" w:sz="4" w:space="0"/>
                    <w:right w:val="single" w:color="000000" w:sz="4" w:space="0"/>
                  </w:tcBorders>
                  <w:vAlign w:val="top"/>
                </w:tcPr>
                <w:p>
                  <w:pPr>
                    <w:jc w:val="left"/>
                  </w:pPr>
                  <w:r>
                    <w:rPr>
                      <w:sz w:val="21"/>
                    </w:rPr>
                    <w:t>1:12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0" w:type="dxa"/>
                  <w:tcBorders>
                    <w:top w:val="nil"/>
                    <w:left w:val="single" w:color="000000" w:sz="4" w:space="0"/>
                    <w:bottom w:val="single" w:color="000000" w:sz="4" w:space="0"/>
                    <w:right w:val="single" w:color="000000" w:sz="4" w:space="0"/>
                  </w:tcBorders>
                  <w:vAlign w:val="top"/>
                </w:tcPr>
                <w:p>
                  <w:pPr>
                    <w:jc w:val="left"/>
                  </w:pPr>
                  <w:r>
                    <w:rPr>
                      <w:sz w:val="21"/>
                    </w:rPr>
                    <w:t>最大重量</w:t>
                  </w:r>
                </w:p>
              </w:tc>
              <w:tc>
                <w:tcPr>
                  <w:tcW w:w="2745" w:type="dxa"/>
                  <w:tcBorders>
                    <w:top w:val="nil"/>
                    <w:left w:val="nil"/>
                    <w:bottom w:val="single" w:color="000000" w:sz="4" w:space="0"/>
                    <w:right w:val="single" w:color="000000" w:sz="4" w:space="0"/>
                  </w:tcBorders>
                  <w:vAlign w:val="top"/>
                </w:tcPr>
                <w:p>
                  <w:pPr>
                    <w:jc w:val="left"/>
                  </w:pPr>
                  <w:r>
                    <w:rPr>
                      <w:sz w:val="21"/>
                    </w:rPr>
                    <w:t>≤100kg</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0" w:type="dxa"/>
                  <w:tcBorders>
                    <w:top w:val="nil"/>
                    <w:left w:val="single" w:color="000000" w:sz="4" w:space="0"/>
                    <w:bottom w:val="single" w:color="000000" w:sz="4" w:space="0"/>
                    <w:right w:val="single" w:color="000000" w:sz="4" w:space="0"/>
                  </w:tcBorders>
                  <w:vAlign w:val="top"/>
                </w:tcPr>
                <w:p>
                  <w:pPr>
                    <w:jc w:val="left"/>
                  </w:pPr>
                  <w:r>
                    <w:rPr>
                      <w:sz w:val="21"/>
                    </w:rPr>
                    <w:t>规格尺寸</w:t>
                  </w:r>
                </w:p>
              </w:tc>
              <w:tc>
                <w:tcPr>
                  <w:tcW w:w="2745" w:type="dxa"/>
                  <w:tcBorders>
                    <w:top w:val="nil"/>
                    <w:left w:val="nil"/>
                    <w:bottom w:val="single" w:color="000000" w:sz="4" w:space="0"/>
                    <w:right w:val="single" w:color="000000" w:sz="4" w:space="0"/>
                  </w:tcBorders>
                  <w:vAlign w:val="top"/>
                </w:tcPr>
                <w:p>
                  <w:pPr>
                    <w:jc w:val="left"/>
                  </w:pPr>
                  <w:r>
                    <w:rPr>
                      <w:sz w:val="21"/>
                    </w:rPr>
                    <w:t>804×590×300mm</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0" w:type="dxa"/>
                  <w:tcBorders>
                    <w:top w:val="nil"/>
                    <w:left w:val="single" w:color="000000" w:sz="4" w:space="0"/>
                    <w:bottom w:val="single" w:color="000000" w:sz="4" w:space="0"/>
                    <w:right w:val="single" w:color="000000" w:sz="4" w:space="0"/>
                  </w:tcBorders>
                  <w:vAlign w:val="top"/>
                </w:tcPr>
                <w:p>
                  <w:pPr>
                    <w:jc w:val="left"/>
                  </w:pPr>
                  <w:r>
                    <w:rPr>
                      <w:sz w:val="21"/>
                    </w:rPr>
                    <w:t>散热方式</w:t>
                  </w:r>
                </w:p>
              </w:tc>
              <w:tc>
                <w:tcPr>
                  <w:tcW w:w="2745" w:type="dxa"/>
                  <w:tcBorders>
                    <w:top w:val="nil"/>
                    <w:left w:val="nil"/>
                    <w:bottom w:val="single" w:color="000000" w:sz="4" w:space="0"/>
                    <w:right w:val="single" w:color="000000" w:sz="4" w:space="0"/>
                  </w:tcBorders>
                  <w:vAlign w:val="top"/>
                </w:tcPr>
                <w:p>
                  <w:pPr>
                    <w:jc w:val="left"/>
                  </w:pPr>
                  <w:r>
                    <w:rPr>
                      <w:sz w:val="21"/>
                    </w:rPr>
                    <w:t>水冷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0" w:type="dxa"/>
                  <w:tcBorders>
                    <w:top w:val="nil"/>
                    <w:left w:val="single" w:color="000000" w:sz="4" w:space="0"/>
                    <w:bottom w:val="single" w:color="000000" w:sz="4" w:space="0"/>
                    <w:right w:val="single" w:color="000000" w:sz="4" w:space="0"/>
                  </w:tcBorders>
                  <w:vAlign w:val="top"/>
                </w:tcPr>
                <w:p>
                  <w:pPr>
                    <w:jc w:val="left"/>
                  </w:pPr>
                  <w:r>
                    <w:rPr>
                      <w:sz w:val="21"/>
                    </w:rPr>
                    <w:t>主要用途</w:t>
                  </w:r>
                </w:p>
              </w:tc>
              <w:tc>
                <w:tcPr>
                  <w:tcW w:w="2745" w:type="dxa"/>
                  <w:tcBorders>
                    <w:top w:val="nil"/>
                    <w:left w:val="nil"/>
                    <w:bottom w:val="single" w:color="000000" w:sz="4" w:space="0"/>
                    <w:right w:val="single" w:color="000000" w:sz="4" w:space="0"/>
                  </w:tcBorders>
                  <w:vAlign w:val="top"/>
                </w:tcPr>
                <w:p>
                  <w:pPr>
                    <w:jc w:val="left"/>
                  </w:pPr>
                  <w:r>
                    <w:rPr>
                      <w:sz w:val="21"/>
                    </w:rPr>
                    <w:t>燃料电池客车，新能源汽车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0" w:type="dxa"/>
                  <w:tcBorders>
                    <w:top w:val="nil"/>
                    <w:left w:val="single" w:color="000000" w:sz="4" w:space="0"/>
                    <w:bottom w:val="single" w:color="000000" w:sz="4" w:space="0"/>
                    <w:right w:val="single" w:color="000000" w:sz="4" w:space="0"/>
                  </w:tcBorders>
                  <w:vAlign w:val="top"/>
                </w:tcPr>
                <w:p>
                  <w:pPr>
                    <w:jc w:val="left"/>
                  </w:pPr>
                  <w:r>
                    <w:rPr>
                      <w:sz w:val="21"/>
                    </w:rPr>
                    <w:t>最大散热量</w:t>
                  </w:r>
                </w:p>
              </w:tc>
              <w:tc>
                <w:tcPr>
                  <w:tcW w:w="2745" w:type="dxa"/>
                  <w:tcBorders>
                    <w:top w:val="nil"/>
                    <w:left w:val="nil"/>
                    <w:bottom w:val="single" w:color="000000" w:sz="4" w:space="0"/>
                    <w:right w:val="single" w:color="000000" w:sz="4" w:space="0"/>
                  </w:tcBorders>
                  <w:vAlign w:val="top"/>
                </w:tcPr>
                <w:p>
                  <w:pPr>
                    <w:jc w:val="left"/>
                  </w:pPr>
                  <w:r>
                    <w:rPr>
                      <w:sz w:val="21"/>
                    </w:rPr>
                    <w:t>4.5kw</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0" w:type="dxa"/>
                  <w:tcBorders>
                    <w:top w:val="nil"/>
                    <w:left w:val="single" w:color="000000" w:sz="4" w:space="0"/>
                    <w:bottom w:val="single" w:color="000000" w:sz="4" w:space="0"/>
                    <w:right w:val="single" w:color="000000" w:sz="4" w:space="0"/>
                  </w:tcBorders>
                  <w:vAlign w:val="top"/>
                </w:tcPr>
                <w:p>
                  <w:pPr>
                    <w:jc w:val="left"/>
                  </w:pPr>
                  <w:r>
                    <w:rPr>
                      <w:sz w:val="21"/>
                    </w:rPr>
                    <w:t>控制方式</w:t>
                  </w:r>
                </w:p>
              </w:tc>
              <w:tc>
                <w:tcPr>
                  <w:tcW w:w="2745" w:type="dxa"/>
                  <w:tcBorders>
                    <w:top w:val="nil"/>
                    <w:left w:val="nil"/>
                    <w:bottom w:val="single" w:color="000000" w:sz="4" w:space="0"/>
                    <w:right w:val="single" w:color="000000" w:sz="4" w:space="0"/>
                  </w:tcBorders>
                  <w:vAlign w:val="top"/>
                </w:tcPr>
                <w:p>
                  <w:pPr>
                    <w:jc w:val="left"/>
                  </w:pPr>
                  <w:r>
                    <w:rPr>
                      <w:sz w:val="21"/>
                    </w:rPr>
                    <w:t>输入电流控制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0" w:type="dxa"/>
                  <w:tcBorders>
                    <w:top w:val="nil"/>
                    <w:left w:val="single" w:color="000000" w:sz="4" w:space="0"/>
                    <w:bottom w:val="single" w:color="000000" w:sz="4" w:space="0"/>
                    <w:right w:val="single" w:color="000000" w:sz="4" w:space="0"/>
                  </w:tcBorders>
                  <w:vAlign w:val="top"/>
                </w:tcPr>
                <w:p>
                  <w:pPr>
                    <w:jc w:val="left"/>
                  </w:pPr>
                  <w:r>
                    <w:rPr>
                      <w:sz w:val="21"/>
                    </w:rPr>
                    <w:t>通信方式</w:t>
                  </w:r>
                </w:p>
              </w:tc>
              <w:tc>
                <w:tcPr>
                  <w:tcW w:w="2745" w:type="dxa"/>
                  <w:tcBorders>
                    <w:top w:val="nil"/>
                    <w:left w:val="nil"/>
                    <w:bottom w:val="single" w:color="000000" w:sz="4" w:space="0"/>
                    <w:right w:val="single" w:color="000000" w:sz="4" w:space="0"/>
                  </w:tcBorders>
                  <w:vAlign w:val="top"/>
                </w:tcPr>
                <w:p>
                  <w:pPr>
                    <w:jc w:val="left"/>
                  </w:pPr>
                  <w:r>
                    <w:rPr>
                      <w:sz w:val="21"/>
                    </w:rPr>
                    <w:t>CAN总线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0" w:type="dxa"/>
                  <w:tcBorders>
                    <w:top w:val="nil"/>
                    <w:left w:val="single" w:color="000000" w:sz="4" w:space="0"/>
                    <w:bottom w:val="single" w:color="000000" w:sz="4" w:space="0"/>
                    <w:right w:val="single" w:color="000000" w:sz="4" w:space="0"/>
                  </w:tcBorders>
                  <w:vAlign w:val="top"/>
                </w:tcPr>
                <w:p>
                  <w:pPr>
                    <w:jc w:val="left"/>
                  </w:pPr>
                  <w:r>
                    <w:rPr>
                      <w:sz w:val="21"/>
                    </w:rPr>
                    <w:t>类型</w:t>
                  </w:r>
                </w:p>
              </w:tc>
              <w:tc>
                <w:tcPr>
                  <w:tcW w:w="2745" w:type="dxa"/>
                  <w:tcBorders>
                    <w:top w:val="nil"/>
                    <w:left w:val="nil"/>
                    <w:bottom w:val="single" w:color="000000" w:sz="4" w:space="0"/>
                    <w:right w:val="single" w:color="000000" w:sz="4" w:space="0"/>
                  </w:tcBorders>
                  <w:vAlign w:val="top"/>
                </w:tcPr>
                <w:p>
                  <w:pPr>
                    <w:jc w:val="left"/>
                  </w:pPr>
                  <w:r>
                    <w:rPr>
                      <w:sz w:val="21"/>
                    </w:rPr>
                    <w:t>单向升压非隔离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0" w:type="dxa"/>
                  <w:tcBorders>
                    <w:top w:val="nil"/>
                    <w:left w:val="single" w:color="000000" w:sz="4" w:space="0"/>
                    <w:bottom w:val="single" w:color="000000" w:sz="4" w:space="0"/>
                    <w:right w:val="single" w:color="000000" w:sz="4" w:space="0"/>
                  </w:tcBorders>
                  <w:vAlign w:val="top"/>
                </w:tcPr>
                <w:p>
                  <w:pPr>
                    <w:jc w:val="left"/>
                  </w:pPr>
                  <w:r>
                    <w:rPr>
                      <w:sz w:val="21"/>
                    </w:rPr>
                    <w:t>进水口允许最高温度</w:t>
                  </w:r>
                </w:p>
              </w:tc>
              <w:tc>
                <w:tcPr>
                  <w:tcW w:w="2745" w:type="dxa"/>
                  <w:tcBorders>
                    <w:top w:val="nil"/>
                    <w:left w:val="nil"/>
                    <w:bottom w:val="single" w:color="000000" w:sz="4" w:space="0"/>
                    <w:right w:val="single" w:color="000000" w:sz="4" w:space="0"/>
                  </w:tcBorders>
                  <w:vAlign w:val="top"/>
                </w:tcPr>
                <w:p>
                  <w:pPr>
                    <w:jc w:val="left"/>
                  </w:pPr>
                  <w:r>
                    <w:rPr>
                      <w:sz w:val="21"/>
                    </w:rPr>
                    <w:t>60℃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0" w:type="dxa"/>
                  <w:tcBorders>
                    <w:top w:val="nil"/>
                    <w:left w:val="single" w:color="000000" w:sz="4" w:space="0"/>
                    <w:bottom w:val="single" w:color="000000" w:sz="4" w:space="0"/>
                    <w:right w:val="single" w:color="000000" w:sz="4" w:space="0"/>
                  </w:tcBorders>
                  <w:vAlign w:val="top"/>
                </w:tcPr>
                <w:p>
                  <w:pPr>
                    <w:jc w:val="left"/>
                  </w:pPr>
                  <w:r>
                    <w:rPr>
                      <w:sz w:val="21"/>
                    </w:rPr>
                    <w:t>进出水口最大温差</w:t>
                  </w:r>
                </w:p>
              </w:tc>
              <w:tc>
                <w:tcPr>
                  <w:tcW w:w="2745" w:type="dxa"/>
                  <w:tcBorders>
                    <w:top w:val="nil"/>
                    <w:left w:val="nil"/>
                    <w:bottom w:val="single" w:color="000000" w:sz="4" w:space="0"/>
                    <w:right w:val="single" w:color="000000" w:sz="4" w:space="0"/>
                  </w:tcBorders>
                  <w:vAlign w:val="top"/>
                </w:tcPr>
                <w:p>
                  <w:pPr>
                    <w:jc w:val="left"/>
                  </w:pPr>
                  <w:r>
                    <w:rPr>
                      <w:sz w:val="21"/>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0" w:type="dxa"/>
                  <w:tcBorders>
                    <w:top w:val="nil"/>
                    <w:left w:val="single" w:color="000000" w:sz="4" w:space="0"/>
                    <w:bottom w:val="single" w:color="000000" w:sz="4" w:space="0"/>
                    <w:right w:val="single" w:color="000000" w:sz="4" w:space="0"/>
                  </w:tcBorders>
                  <w:vAlign w:val="top"/>
                </w:tcPr>
                <w:p>
                  <w:pPr>
                    <w:jc w:val="left"/>
                  </w:pPr>
                  <w:r>
                    <w:rPr>
                      <w:sz w:val="21"/>
                    </w:rPr>
                    <w:t>进出水口外径</w:t>
                  </w:r>
                </w:p>
              </w:tc>
              <w:tc>
                <w:tcPr>
                  <w:tcW w:w="2745" w:type="dxa"/>
                  <w:tcBorders>
                    <w:top w:val="nil"/>
                    <w:left w:val="nil"/>
                    <w:bottom w:val="single" w:color="000000" w:sz="4" w:space="0"/>
                    <w:right w:val="single" w:color="000000" w:sz="4" w:space="0"/>
                  </w:tcBorders>
                  <w:vAlign w:val="top"/>
                </w:tcPr>
                <w:p>
                  <w:pPr>
                    <w:jc w:val="left"/>
                  </w:pPr>
                  <w:r>
                    <w:rPr>
                      <w:sz w:val="21"/>
                    </w:rPr>
                    <w:t>25 mm</w:t>
                  </w:r>
                </w:p>
              </w:tc>
            </w:tr>
          </w:tbl>
          <w:p>
            <w:r>
              <w:rPr>
                <w:sz w:val="21"/>
              </w:rPr>
              <w:t>适用范围广：输入端电压82～164V,输出端电压400～600V。</w:t>
            </w:r>
          </w:p>
          <w:p>
            <w:r>
              <w:rPr>
                <w:sz w:val="21"/>
              </w:rPr>
              <w:t>四、教学实验展示台：</w:t>
            </w:r>
          </w:p>
          <w:p>
            <w:r>
              <w:rPr>
                <w:sz w:val="21"/>
              </w:rPr>
              <w:t>1.展示元件内部结构，带灯光控制，元件用线切割剖面处理，能清楚表达内部结构和传动关系，直接展示工作过程，各部件的构造和安装。</w:t>
            </w:r>
          </w:p>
          <w:p>
            <w:r>
              <w:rPr>
                <w:sz w:val="21"/>
              </w:rPr>
              <w:t>2.利用不同颜色进行高低压区分，采用亚克力印刷标注。</w:t>
            </w:r>
          </w:p>
          <w:p>
            <w:r>
              <w:rPr>
                <w:sz w:val="21"/>
              </w:rPr>
              <w:t>3.配有多功能开发板：开发板采用磁吸端子供电，易于拆卸，亦可通过USB供电，用于完成整个实训室台架的通讯连接，实现联动控制，开发板采用C/C++编程语言+单片机技术完成的硬件模块，支持CAN通讯、UAST通讯、SPI通讯、I2C通讯、ADC采集、IO控制等功能；支持控制各种控制模块、通讯模块、显示模块等，可DIY不同的功能。</w:t>
            </w:r>
          </w:p>
          <w:p>
            <w:r>
              <w:rPr>
                <w:sz w:val="21"/>
              </w:rPr>
              <w:t>元件参考图片</w:t>
            </w:r>
          </w:p>
          <w:p>
            <w:pPr>
              <w:jc w:val="both"/>
            </w:pPr>
            <w:r>
              <w:drawing>
                <wp:inline distT="0" distB="0" distL="0" distR="0">
                  <wp:extent cx="3554095" cy="3286125"/>
                  <wp:effectExtent l="0" t="0" r="8255" b="9525"/>
                  <wp:docPr id="2" name="Drawing 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img"/>
                          <pic:cNvPicPr>
                            <a:picLocks noChangeAspect="1"/>
                          </pic:cNvPicPr>
                        </pic:nvPicPr>
                        <pic:blipFill>
                          <a:blip r:embed="rId5"/>
                          <a:stretch>
                            <a:fillRect/>
                          </a:stretch>
                        </pic:blipFill>
                        <pic:spPr>
                          <a:xfrm>
                            <a:off x="0" y="0"/>
                            <a:ext cx="3554729" cy="3286125"/>
                          </a:xfrm>
                          <a:prstGeom prst="rect">
                            <a:avLst/>
                          </a:prstGeom>
                        </pic:spPr>
                      </pic:pic>
                    </a:graphicData>
                  </a:graphic>
                </wp:inline>
              </w:drawing>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说明</w:t>
            </w:r>
          </w:p>
        </w:tc>
        <w:tc>
          <w:tcPr>
            <w:tcW w:w="6229" w:type="dxa"/>
            <w:gridSpan w:val="2"/>
          </w:tcPr>
          <w:p>
            <w:pPr>
              <w:jc w:val="left"/>
            </w:pPr>
            <w:r>
              <w:t>打“★”号条款为实质性条款，若有任何一条负偏离或不满足则导致投标（响应）无效。</w:t>
            </w:r>
            <w:r>
              <w:br w:type="textWrapping"/>
            </w:r>
            <w:r>
              <w:t>打“▲”号条款为重要技术参数（如有），若有部分“▲”条款未响应或不满足，将根据评审要求影响其得分，但不作为无效投标（响应）条款。</w:t>
            </w:r>
          </w:p>
        </w:tc>
      </w:tr>
    </w:tbl>
    <w:p/>
    <w:p>
      <w:r>
        <w:rPr>
          <w:b/>
          <w:sz w:val="24"/>
        </w:rPr>
        <w:t>附表三：高压储氢系统装调检测工作站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参数性质</w:t>
            </w:r>
          </w:p>
        </w:tc>
        <w:tc>
          <w:tcPr>
            <w:tcW w:w="415" w:type="dxa"/>
          </w:tcPr>
          <w:p>
            <w:r>
              <w:t>序号</w:t>
            </w:r>
          </w:p>
        </w:tc>
        <w:tc>
          <w:tcPr>
            <w:tcW w:w="5814" w:type="dxa"/>
          </w:tcPr>
          <w:p>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r>
              <w:t>1</w:t>
            </w:r>
          </w:p>
        </w:tc>
        <w:tc>
          <w:tcPr>
            <w:tcW w:w="5814" w:type="dxa"/>
          </w:tcPr>
          <w:p>
            <w:r>
              <w:rPr>
                <w:sz w:val="21"/>
              </w:rPr>
              <w:t>一、产品要求</w:t>
            </w:r>
          </w:p>
          <w:p>
            <w:pPr>
              <w:ind w:firstLine="360"/>
            </w:pPr>
            <w:r>
              <w:rPr>
                <w:sz w:val="21"/>
              </w:rPr>
              <w:t>本工作站按照高压储氢系统装调检测岗位及“氢能源应用技术课程标准”设计开发，与课程包配套使用。主要由主流车用高压氢气储罐实物、附件、专用拆装安装架等组成，可完成氢燃料高压氢气储罐结构、原理、检测等教学。</w:t>
            </w:r>
          </w:p>
          <w:p>
            <w:r>
              <w:rPr>
                <w:sz w:val="21"/>
              </w:rPr>
              <w:t>二、实验实训项目</w:t>
            </w:r>
          </w:p>
          <w:p>
            <w:r>
              <w:rPr>
                <w:sz w:val="21"/>
              </w:rPr>
              <w:t>1.氢燃料高压氢气储罐结构原理认知：采用氢燃料动力电池汽车高压氢气储罐氢，采用局部切割技术制作，充分展示高压氢气储罐的结构与工作原理；</w:t>
            </w:r>
          </w:p>
          <w:p>
            <w:r>
              <w:rPr>
                <w:sz w:val="21"/>
              </w:rPr>
              <w:t>2.高压氢气储罐拆装：配套专用拆装工具，完成高压氢气储罐正确拆装实训；</w:t>
            </w:r>
          </w:p>
          <w:p>
            <w:r>
              <w:rPr>
                <w:sz w:val="21"/>
              </w:rPr>
              <w:t>3.高压氢气储罐检测：配套专用检测工具，完成高压氢气储罐性能检测；</w:t>
            </w:r>
          </w:p>
          <w:p>
            <w:r>
              <w:rPr>
                <w:sz w:val="21"/>
              </w:rPr>
              <w:t>三、设备技术参数</w:t>
            </w:r>
          </w:p>
          <w:p>
            <w:r>
              <w:rPr>
                <w:sz w:val="21"/>
              </w:rPr>
              <w:t>1.容量20L以上，采用储气压力50 MPa以上车规级氢燃料高压氢气储罐，要求结构完整，性能正常：</w:t>
            </w:r>
          </w:p>
          <w:p>
            <w:r>
              <w:rPr>
                <w:sz w:val="21"/>
              </w:rPr>
              <w:t>2.高压氢气加注、存储装置维护专用工具；</w:t>
            </w:r>
          </w:p>
          <w:p>
            <w:r>
              <w:rPr>
                <w:sz w:val="21"/>
              </w:rPr>
              <w:t>3.外形尺寸：不小于1200mm×700mm×1800mm（长×宽×高）；</w:t>
            </w:r>
          </w:p>
          <w:p>
            <w:r>
              <w:rPr>
                <w:sz w:val="21"/>
              </w:rPr>
              <w:t>四、系统组成 :主要包括加注、储氢、供氢三个主要功能，整体安装驾驶舱与货仓之间的储氢舱，储氢舱中安装有储氢、供氢。储氢、供氢用于氢气的存储及氢气的供给，主要零部件包括：压缩气态储氢气瓶、组合瓶口阀、减压器、过滤器、单向阀、安全阀、管接头及压力变送器等。</w:t>
            </w:r>
          </w:p>
          <w:p>
            <w:r>
              <w:rPr>
                <w:sz w:val="21"/>
              </w:rPr>
              <w:t>五、教学实验展示台：</w:t>
            </w:r>
          </w:p>
          <w:p>
            <w:r>
              <w:rPr>
                <w:sz w:val="21"/>
              </w:rPr>
              <w:t>1.展示元件内部结构，带灯光控制，元件用线切割剖面处理，能清楚表达内部结构和传动关系，直接展示工作过程，各部件的构造和安装。</w:t>
            </w:r>
          </w:p>
          <w:p>
            <w:r>
              <w:rPr>
                <w:sz w:val="21"/>
              </w:rPr>
              <w:t>2.利用不同颜色进行高低压区分，采用亚克力印刷标注。</w:t>
            </w:r>
          </w:p>
          <w:p>
            <w:r>
              <w:rPr>
                <w:sz w:val="21"/>
              </w:rPr>
              <w:t>3.配有多功能开发板：开发板采用磁吸端子供电，易于拆卸，亦可通过USB供电，用于完成整个实训室台架的通讯连接，实现联动控制，开发板采用C/C++编程语言+单片机技术完成的硬件模块，支持CAN通讯、UAST通讯、SPI通讯、I2C通讯、ADC采集、IO控制等功能；支持控制各种控制模块、通讯模块、显示模块等，可DIY不同的功能。</w:t>
            </w:r>
          </w:p>
          <w:p>
            <w:r>
              <w:rPr>
                <w:sz w:val="21"/>
              </w:rPr>
              <w:t>4.可完成模块化在线考核功能。</w:t>
            </w:r>
          </w:p>
          <w:p>
            <w:r>
              <w:rPr>
                <w:sz w:val="21"/>
              </w:rPr>
              <w:t>▲5.为保证所投产品的自主研发、扩展等高水平能力，所投产品须具有汽车模块化在线考核系统的软件著作权证书，提供证书复印件并加盖投标人公章，原件备查。</w:t>
            </w:r>
          </w:p>
          <w:p>
            <w:r>
              <w:drawing>
                <wp:inline distT="0" distB="0" distL="0" distR="0">
                  <wp:extent cx="3554095" cy="5457825"/>
                  <wp:effectExtent l="0" t="0" r="8255" b="9525"/>
                  <wp:docPr id="3" name="Drawing 3"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img"/>
                          <pic:cNvPicPr>
                            <a:picLocks noChangeAspect="1"/>
                          </pic:cNvPicPr>
                        </pic:nvPicPr>
                        <pic:blipFill>
                          <a:blip r:embed="rId6"/>
                          <a:stretch>
                            <a:fillRect/>
                          </a:stretch>
                        </pic:blipFill>
                        <pic:spPr>
                          <a:xfrm>
                            <a:off x="0" y="0"/>
                            <a:ext cx="3554729" cy="5457825"/>
                          </a:xfrm>
                          <a:prstGeom prst="rect">
                            <a:avLst/>
                          </a:prstGeom>
                        </pic:spPr>
                      </pic:pic>
                    </a:graphicData>
                  </a:graphic>
                </wp:inline>
              </w:drawing>
            </w:r>
          </w:p>
          <w:p>
            <w: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说明</w:t>
            </w:r>
          </w:p>
        </w:tc>
        <w:tc>
          <w:tcPr>
            <w:tcW w:w="6229" w:type="dxa"/>
            <w:gridSpan w:val="2"/>
          </w:tcPr>
          <w:p>
            <w:pPr>
              <w:jc w:val="left"/>
            </w:pPr>
            <w:r>
              <w:t>打“★”号条款为实质性条款，若有任何一条负偏离或不满足则导致投标（响应）无效。</w:t>
            </w:r>
            <w:r>
              <w:br w:type="textWrapping"/>
            </w:r>
            <w:r>
              <w:t>打“▲”号条款为重要技术参数（如有），若有部分“▲”条款未响应或不满足，将根据评审要求影响其得分，但不作为无效投标（响应）条款。</w:t>
            </w:r>
          </w:p>
        </w:tc>
      </w:tr>
    </w:tbl>
    <w:p/>
    <w:p>
      <w:r>
        <w:rPr>
          <w:b/>
          <w:sz w:val="24"/>
        </w:rPr>
        <w:t>附表四：氢气加注系统与浓度监测装调检测工作站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参数性质</w:t>
            </w:r>
          </w:p>
        </w:tc>
        <w:tc>
          <w:tcPr>
            <w:tcW w:w="415" w:type="dxa"/>
          </w:tcPr>
          <w:p>
            <w:r>
              <w:t>序号</w:t>
            </w:r>
          </w:p>
        </w:tc>
        <w:tc>
          <w:tcPr>
            <w:tcW w:w="5814" w:type="dxa"/>
          </w:tcPr>
          <w:p>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r>
              <w:t>1</w:t>
            </w:r>
          </w:p>
        </w:tc>
        <w:tc>
          <w:tcPr>
            <w:tcW w:w="5814" w:type="dxa"/>
          </w:tcPr>
          <w:p>
            <w:r>
              <w:rPr>
                <w:sz w:val="21"/>
              </w:rPr>
              <w:t>一、产品要求</w:t>
            </w:r>
          </w:p>
          <w:p>
            <w:pPr>
              <w:ind w:firstLine="360"/>
            </w:pPr>
            <w:r>
              <w:rPr>
                <w:sz w:val="21"/>
              </w:rPr>
              <w:t>本工作站按照氢气加注系统与浓度监测装调检测岗位及“氢能源应用技术课程标准”设计开发，与课程包配套使用。主要由主流车氢气加注口、氢气浓度监测传感器实物、附件等组成，可完成氢燃料加注、浓度监测等教学。</w:t>
            </w:r>
          </w:p>
          <w:p>
            <w:r>
              <w:rPr>
                <w:sz w:val="21"/>
              </w:rPr>
              <w:t>二、实验实训项目</w:t>
            </w:r>
          </w:p>
          <w:p>
            <w:r>
              <w:rPr>
                <w:sz w:val="21"/>
              </w:rPr>
              <w:t>1.氢气加注系统与浓度监测系统结构原理认知：采用主流车用氢气加注系统与浓度监测系统元件，采用局部切割技术制作，充分展示氢气加注系统与浓度监测系统的结构与工作原理；</w:t>
            </w:r>
          </w:p>
          <w:p>
            <w:r>
              <w:rPr>
                <w:sz w:val="21"/>
              </w:rPr>
              <w:t>2.氢气加注系统与浓度监测系统拆装：配套专用拆装工具，完成氢气加注系统与浓度监测系统正确拆装实训；</w:t>
            </w:r>
          </w:p>
          <w:p>
            <w:r>
              <w:rPr>
                <w:sz w:val="21"/>
              </w:rPr>
              <w:t>3.氢气加注系统与浓度监测系统检测：配套专用检测工具，完成氢气加注系统与浓度监测系统性能检测；</w:t>
            </w:r>
          </w:p>
          <w:p>
            <w:r>
              <w:rPr>
                <w:sz w:val="21"/>
              </w:rPr>
              <w:t>三、产品参数</w:t>
            </w:r>
          </w:p>
          <w:p>
            <w:r>
              <w:rPr>
                <w:sz w:val="21"/>
              </w:rPr>
              <w:t>1.浓度监测系统的组成：HWL1 HWL2 氢泄漏安全检测 H_WL3 控制器 H SAFE，发生氢气泄漏的一级和二级报警时，报警信号数据采集和显示 直接点亮报警指示灯，</w:t>
            </w:r>
          </w:p>
          <w:p>
            <w:r>
              <w:rPr>
                <w:sz w:val="21"/>
              </w:rPr>
              <w:t>系统，同时该信号也输入到VCU，由VCU将对应DAQ指示灯障报警一级故指示灯二级故障报警电器氢气回路电磁阀继液晶显示屏提醒司机。</w:t>
            </w:r>
          </w:p>
          <w:p>
            <w:r>
              <w:rPr>
                <w:sz w:val="21"/>
              </w:rPr>
              <w:t>2.采集和显示系统，通过的报警信号发送到数据液晶显示屏对于氢气泄漏浓度，需要HSAFE带有CAN网络，并知道其 DAQ DISP 网络协议。</w:t>
            </w:r>
          </w:p>
          <w:p>
            <w:r>
              <w:rPr>
                <w:sz w:val="21"/>
              </w:rPr>
              <w:t>3.报警级别：</w:t>
            </w:r>
          </w:p>
          <w:p>
            <w:pPr>
              <w:ind w:firstLine="210"/>
            </w:pPr>
            <w:r>
              <w:rPr>
                <w:sz w:val="21"/>
              </w:rPr>
              <w:t>1级预警: 氢浓度&gt;0.5% 声光预警</w:t>
            </w:r>
          </w:p>
          <w:p>
            <w:pPr>
              <w:ind w:firstLine="210"/>
            </w:pPr>
            <w:r>
              <w:rPr>
                <w:sz w:val="21"/>
              </w:rPr>
              <w:t>2级预警: 氢浓度&gt;1.0% 降速行驶</w:t>
            </w:r>
          </w:p>
          <w:p>
            <w:r>
              <w:rPr>
                <w:sz w:val="21"/>
              </w:rPr>
              <w:t xml:space="preserve">  3级预警: 氢浓度&gt;2.0% 切断电源</w:t>
            </w:r>
          </w:p>
          <w:p>
            <w:r>
              <w:t xml:space="preserve"> </w:t>
            </w:r>
          </w:p>
          <w:p>
            <w:r>
              <w:rPr>
                <w:sz w:val="21"/>
              </w:rPr>
              <w:t>4.氢气加注口：采用原车件，带压力表及安全装置。</w:t>
            </w:r>
          </w:p>
          <w:p>
            <w:r>
              <w:rPr>
                <w:sz w:val="21"/>
              </w:rPr>
              <w:t>四、教学实验展示台：</w:t>
            </w:r>
          </w:p>
          <w:p>
            <w:r>
              <w:rPr>
                <w:sz w:val="21"/>
              </w:rPr>
              <w:t>1.展示元件内部结构，带灯光控制，元件用局部切割技术制作，能清楚表达内部结构和传动关系，直接展示工作过程，各部件的构造和安装。</w:t>
            </w:r>
          </w:p>
          <w:p>
            <w:r>
              <w:rPr>
                <w:sz w:val="21"/>
              </w:rPr>
              <w:t>2.利用不同颜色进行高低压区分，采用亚克力印刷标注。</w:t>
            </w:r>
          </w:p>
          <w:p>
            <w:r>
              <w:rPr>
                <w:sz w:val="21"/>
              </w:rPr>
              <w:t>3.配有多功能开发板：开发板采用磁吸端子供电，易于拆卸，亦可通过USB供电，用于完成整个实训室台架的通讯连接，实现联动控制，开发板采用C/C++编程语言+单片机技术完成的硬件模块，支持CAN通讯、UAST通讯、SPI通讯、I2C通讯、ADC采集、IO控制等功能；支持控制各种控制模块、通讯模块、显示模块等，可DIY不同的功能。</w:t>
            </w:r>
          </w:p>
          <w:p>
            <w:r>
              <w:rPr>
                <w:color w:val="000000"/>
                <w:sz w:val="21"/>
              </w:rPr>
              <w:t>▲4.</w:t>
            </w:r>
            <w:r>
              <w:rPr>
                <w:sz w:val="19"/>
              </w:rPr>
              <w:t>为保证投标人对所投产品技术参数的理解，检验其是否具有开发能力，</w:t>
            </w:r>
            <w:r>
              <w:rPr>
                <w:color w:val="000000"/>
                <w:sz w:val="21"/>
              </w:rPr>
              <w:t>标书中，要求提供车辆氢气加注口、浓度监测装置的安全等级参数及生产厂家。</w:t>
            </w:r>
          </w:p>
          <w:p>
            <w:r>
              <w:drawing>
                <wp:inline distT="0" distB="0" distL="0" distR="0">
                  <wp:extent cx="2562225" cy="1552575"/>
                  <wp:effectExtent l="0" t="0" r="9525" b="9525"/>
                  <wp:docPr id="4" name="Drawing 4"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img"/>
                          <pic:cNvPicPr>
                            <a:picLocks noChangeAspect="1"/>
                          </pic:cNvPicPr>
                        </pic:nvPicPr>
                        <pic:blipFill>
                          <a:blip r:embed="rId7"/>
                          <a:stretch>
                            <a:fillRect/>
                          </a:stretch>
                        </pic:blipFill>
                        <pic:spPr>
                          <a:xfrm>
                            <a:off x="0" y="0"/>
                            <a:ext cx="2562225" cy="1552575"/>
                          </a:xfrm>
                          <a:prstGeom prst="rect">
                            <a:avLst/>
                          </a:prstGeom>
                        </pic:spPr>
                      </pic:pic>
                    </a:graphicData>
                  </a:graphic>
                </wp:inline>
              </w:drawing>
            </w:r>
            <w:r>
              <w:drawing>
                <wp:inline distT="0" distB="0" distL="0" distR="0">
                  <wp:extent cx="1933575" cy="2676525"/>
                  <wp:effectExtent l="0" t="0" r="9525" b="9525"/>
                  <wp:docPr id="5" name="Drawing 5"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descr="img"/>
                          <pic:cNvPicPr>
                            <a:picLocks noChangeAspect="1"/>
                          </pic:cNvPicPr>
                        </pic:nvPicPr>
                        <pic:blipFill>
                          <a:blip r:embed="rId8"/>
                          <a:stretch>
                            <a:fillRect/>
                          </a:stretch>
                        </pic:blipFill>
                        <pic:spPr>
                          <a:xfrm>
                            <a:off x="0" y="0"/>
                            <a:ext cx="1933575" cy="2676525"/>
                          </a:xfrm>
                          <a:prstGeom prst="rect">
                            <a:avLst/>
                          </a:prstGeom>
                        </pic:spPr>
                      </pic:pic>
                    </a:graphicData>
                  </a:graphic>
                </wp:inline>
              </w:drawing>
            </w:r>
          </w:p>
          <w:p>
            <w: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说明</w:t>
            </w:r>
          </w:p>
        </w:tc>
        <w:tc>
          <w:tcPr>
            <w:tcW w:w="6229" w:type="dxa"/>
            <w:gridSpan w:val="2"/>
          </w:tcPr>
          <w:p>
            <w:pPr>
              <w:jc w:val="left"/>
            </w:pPr>
            <w:r>
              <w:t>打“★”号条款为实质性条款，若有任何一条负偏离或不满足则导致投标（响应）无效。</w:t>
            </w:r>
            <w:r>
              <w:br w:type="textWrapping"/>
            </w:r>
            <w:r>
              <w:t>打“▲”号条款为重要技术参数（如有），若有部分“▲”条款未响应或不满足，将根据评审要求影响其得分，但不作为无效投标（响应）条款。</w:t>
            </w:r>
          </w:p>
        </w:tc>
      </w:tr>
    </w:tbl>
    <w:p/>
    <w:p>
      <w:r>
        <w:rPr>
          <w:b/>
          <w:sz w:val="24"/>
        </w:rPr>
        <w:t>附表五：燃料电池散热系统装调检测工作站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参数性质</w:t>
            </w:r>
          </w:p>
        </w:tc>
        <w:tc>
          <w:tcPr>
            <w:tcW w:w="415" w:type="dxa"/>
          </w:tcPr>
          <w:p>
            <w:r>
              <w:t>序号</w:t>
            </w:r>
          </w:p>
        </w:tc>
        <w:tc>
          <w:tcPr>
            <w:tcW w:w="5814" w:type="dxa"/>
          </w:tcPr>
          <w:p>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r>
              <w:t>1</w:t>
            </w:r>
          </w:p>
        </w:tc>
        <w:tc>
          <w:tcPr>
            <w:tcW w:w="5814" w:type="dxa"/>
          </w:tcPr>
          <w:p>
            <w:r>
              <w:rPr>
                <w:sz w:val="21"/>
              </w:rPr>
              <w:t>一、产品要求</w:t>
            </w:r>
          </w:p>
          <w:p>
            <w:pPr>
              <w:ind w:firstLine="360"/>
            </w:pPr>
            <w:r>
              <w:rPr>
                <w:sz w:val="21"/>
              </w:rPr>
              <w:t>本工作站按照燃料电池散热系统装调检测岗位及“氢能源应用技术课程标准”设计开发，与课程包配套使用。主要由主流车燃料电池散热系统组成，可完成氢燃料电池散热检测等教学。</w:t>
            </w:r>
          </w:p>
          <w:p>
            <w:r>
              <w:rPr>
                <w:sz w:val="21"/>
              </w:rPr>
              <w:t>二、实验实训项目</w:t>
            </w:r>
          </w:p>
          <w:p>
            <w:r>
              <w:rPr>
                <w:sz w:val="21"/>
              </w:rPr>
              <w:t>1.燃料电池散热系统结构原理认知：采用主流车用燃料电池散热系统元件，采用局部切割技术制作，充分展示燃料电池散热系统的结构与工作原理；</w:t>
            </w:r>
          </w:p>
          <w:p>
            <w:r>
              <w:rPr>
                <w:sz w:val="21"/>
              </w:rPr>
              <w:t>2.燃料电池散热系统拆装：配套专用拆装工具，完成燃料电池散热系统正确拆装实训；</w:t>
            </w:r>
          </w:p>
          <w:p>
            <w:r>
              <w:rPr>
                <w:sz w:val="21"/>
              </w:rPr>
              <w:t>3.燃料电池散热系统检测：配套专用检测工具，完成燃料电池散热系统性能检测；</w:t>
            </w:r>
          </w:p>
          <w:p>
            <w:r>
              <w:rPr>
                <w:sz w:val="21"/>
              </w:rPr>
              <w:t>三、产品参数</w:t>
            </w:r>
          </w:p>
          <w:p>
            <w:r>
              <w:rPr>
                <w:sz w:val="21"/>
              </w:rPr>
              <w:t>1.冷却循环系统包括循环水泵、节温器，Y型过滤器，及去离子单元。散热系统在运行时会使电堆的内部温度稳定到合适的温度范围，以保证最长的燃料电池寿命</w:t>
            </w:r>
          </w:p>
          <w:p>
            <w:r>
              <w:rPr>
                <w:sz w:val="21"/>
              </w:rPr>
              <w:t>2.冷却组成：</w:t>
            </w:r>
          </w:p>
          <w:p>
            <w:r>
              <w:rPr>
                <w:sz w:val="21"/>
              </w:rPr>
              <w:t>容水量L 约30</w:t>
            </w:r>
          </w:p>
          <w:p>
            <w:r>
              <w:rPr>
                <w:sz w:val="21"/>
              </w:rPr>
              <w:t>散热单元数量个2</w:t>
            </w:r>
          </w:p>
          <w:p>
            <w:r>
              <w:rPr>
                <w:sz w:val="21"/>
              </w:rPr>
              <w:t xml:space="preserve"> 电子扇数量个4</w:t>
            </w:r>
          </w:p>
          <w:p>
            <w:r>
              <w:rPr>
                <w:sz w:val="21"/>
              </w:rPr>
              <w:t xml:space="preserve"> 散热量kW &gt;52</w:t>
            </w:r>
          </w:p>
          <w:p>
            <w:r>
              <w:rPr>
                <w:sz w:val="21"/>
              </w:rPr>
              <w:t xml:space="preserve"> 散热器进口出口温差范围℃ &lt;10</w:t>
            </w:r>
          </w:p>
          <w:p>
            <w:r>
              <w:rPr>
                <w:sz w:val="21"/>
              </w:rPr>
              <w:t xml:space="preserve"> 冷却液类型 100%去离子水，&lt;60%乙二醇含量的燃料电池专</w:t>
            </w:r>
          </w:p>
          <w:p>
            <w:r>
              <w:rPr>
                <w:sz w:val="21"/>
              </w:rPr>
              <w:t>用防冻液(BASFGlysantin FC G20-00/50)</w:t>
            </w:r>
          </w:p>
          <w:p>
            <w:r>
              <w:rPr>
                <w:sz w:val="21"/>
              </w:rPr>
              <w:t>四、教学实验展示台：</w:t>
            </w:r>
          </w:p>
          <w:p>
            <w:r>
              <w:rPr>
                <w:sz w:val="21"/>
              </w:rPr>
              <w:t>1.展示元件内部结构，带灯光控制，采用局部切割技术制作，能清楚表达内部结构和传动关系，直接展示工作过程，各部件的构造和安装。</w:t>
            </w:r>
          </w:p>
          <w:p>
            <w:r>
              <w:rPr>
                <w:sz w:val="21"/>
              </w:rPr>
              <w:t>2.利用不同颜色进行高低压区分，采用亚克力印刷标注。</w:t>
            </w:r>
          </w:p>
          <w:p>
            <w:r>
              <w:rPr>
                <w:sz w:val="21"/>
              </w:rPr>
              <w:t>3.配有多功能开发板：开发板采用磁吸端子供电，易于拆卸，亦可通过USB供电，用于完成整个实训室台架的通讯连接，实现联动控制，开发板采用C/C++编程语言+单片机技术完成的硬件模块，支持CAN通讯、UAST通讯、SPI通讯、I2C通讯、ADC采集、IO控制等功能；支持控制各种控制模块、通讯模块、显示模块等，可DIY不同的功能。</w:t>
            </w:r>
          </w:p>
          <w:p>
            <w:r>
              <w:rPr>
                <w:sz w:val="21"/>
              </w:rPr>
              <w:t>▲4.为保证投标人对所投产品技术参数的理解，检查其是否具有开发能力，标书中，要求提供多功能开发板设计开发图。</w:t>
            </w:r>
          </w:p>
          <w:p>
            <w:r>
              <w:drawing>
                <wp:inline distT="0" distB="0" distL="0" distR="0">
                  <wp:extent cx="3554095" cy="3971925"/>
                  <wp:effectExtent l="0" t="0" r="8255" b="9525"/>
                  <wp:docPr id="6" name="Drawing 6"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descr="img"/>
                          <pic:cNvPicPr>
                            <a:picLocks noChangeAspect="1"/>
                          </pic:cNvPicPr>
                        </pic:nvPicPr>
                        <pic:blipFill>
                          <a:blip r:embed="rId9"/>
                          <a:stretch>
                            <a:fillRect/>
                          </a:stretch>
                        </pic:blipFill>
                        <pic:spPr>
                          <a:xfrm>
                            <a:off x="0" y="0"/>
                            <a:ext cx="3554729" cy="3971925"/>
                          </a:xfrm>
                          <a:prstGeom prst="rect">
                            <a:avLst/>
                          </a:prstGeom>
                        </pic:spPr>
                      </pic:pic>
                    </a:graphicData>
                  </a:graphic>
                </wp:inline>
              </w:drawing>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说明</w:t>
            </w:r>
          </w:p>
        </w:tc>
        <w:tc>
          <w:tcPr>
            <w:tcW w:w="6229" w:type="dxa"/>
            <w:gridSpan w:val="2"/>
          </w:tcPr>
          <w:p>
            <w:pPr>
              <w:jc w:val="left"/>
            </w:pPr>
            <w:r>
              <w:t>打“★”号条款为实质性条款，若有任何一条负偏离或不满足则导致投标（响应）无效。</w:t>
            </w:r>
            <w:r>
              <w:br w:type="textWrapping"/>
            </w:r>
            <w:r>
              <w:t>打“▲”号条款为重要技术参数（如有），若有部分“▲”条款未响应或不满足，将根据评审要求影响其得分，但不作为无效投标（响应）条款。</w:t>
            </w:r>
          </w:p>
        </w:tc>
      </w:tr>
    </w:tbl>
    <w:p/>
    <w:p>
      <w:r>
        <w:rPr>
          <w:b/>
          <w:sz w:val="24"/>
        </w:rPr>
        <w:t>附表六：辅助动力电池装调检测工作站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参数性质</w:t>
            </w:r>
          </w:p>
        </w:tc>
        <w:tc>
          <w:tcPr>
            <w:tcW w:w="415" w:type="dxa"/>
          </w:tcPr>
          <w:p>
            <w:r>
              <w:t>序号</w:t>
            </w:r>
          </w:p>
        </w:tc>
        <w:tc>
          <w:tcPr>
            <w:tcW w:w="5814" w:type="dxa"/>
          </w:tcPr>
          <w:p>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r>
              <w:t>1</w:t>
            </w:r>
          </w:p>
        </w:tc>
        <w:tc>
          <w:tcPr>
            <w:tcW w:w="5814" w:type="dxa"/>
          </w:tcPr>
          <w:p>
            <w:r>
              <w:rPr>
                <w:sz w:val="21"/>
              </w:rPr>
              <w:t>一、产品要求</w:t>
            </w:r>
          </w:p>
          <w:p>
            <w:r>
              <w:rPr>
                <w:sz w:val="21"/>
              </w:rPr>
              <w:t>本工作站按照辅助动力电池装调检测岗位及“氢能源应用技术课程标准”设计开发，与课程包配套使用。主要由主流车用辅助动力电池、附件、专用拆装安装架等组成，可完成氢燃料动力电池汽车辅助动力电池结构、原理、检测等教学。</w:t>
            </w:r>
          </w:p>
          <w:p>
            <w:r>
              <w:rPr>
                <w:sz w:val="21"/>
              </w:rPr>
              <w:t>二、实验实训项目</w:t>
            </w:r>
          </w:p>
          <w:p>
            <w:r>
              <w:rPr>
                <w:sz w:val="21"/>
              </w:rPr>
              <w:t>1.辅助动力结构原理认知：采用氢燃料动力电池汽车辅助动力电池，采用局部切割技术制作，充分展示辅助动力电池的结构与工作原理；</w:t>
            </w:r>
          </w:p>
          <w:p>
            <w:r>
              <w:rPr>
                <w:sz w:val="21"/>
              </w:rPr>
              <w:t>2.辅助动力电池拆装：配套专用拆装工具，完成辅助动力电池正确拆装实训；</w:t>
            </w:r>
          </w:p>
          <w:p>
            <w:r>
              <w:rPr>
                <w:sz w:val="21"/>
              </w:rPr>
              <w:t>3.辅助动力电池检测：配套专用检测工具，完成辅助动力电池性能检测；</w:t>
            </w:r>
          </w:p>
          <w:p>
            <w:r>
              <w:rPr>
                <w:sz w:val="21"/>
              </w:rPr>
              <w:t>三、设备技术参数</w:t>
            </w:r>
          </w:p>
          <w:p>
            <w:r>
              <w:rPr>
                <w:sz w:val="21"/>
              </w:rPr>
              <w:t>1.车用辅助动力电池，电池容量应不小于100A.h，三元锂或磷酸铁锂电池，要求结构完整，性能正常；</w:t>
            </w:r>
          </w:p>
          <w:p>
            <w:r>
              <w:rPr>
                <w:sz w:val="21"/>
              </w:rPr>
              <w:t>2.辅助动力电池拆装维护专用工具；</w:t>
            </w:r>
          </w:p>
          <w:p>
            <w:r>
              <w:rPr>
                <w:sz w:val="21"/>
              </w:rPr>
              <w:t>3.外形尺寸：不小于1200mm×700mm×1800mm（长×宽×高）；</w:t>
            </w:r>
          </w:p>
          <w:p>
            <w:r>
              <w:rPr>
                <w:sz w:val="21"/>
              </w:rPr>
              <w:t>四、教学支持</w:t>
            </w:r>
          </w:p>
          <w:p>
            <w:r>
              <w:rPr>
                <w:sz w:val="21"/>
              </w:rPr>
              <w:t>1.配有辅助动力电池工作原理、结构、动态检测教学演示，要求采用FLASH软件制作，可完成辅助动力电池的结构、存储过程、安全保护的动态演示，配合辅助动力电池检修课程标准的基础学习。</w:t>
            </w:r>
          </w:p>
          <w:p>
            <w:r>
              <w:rPr>
                <w:sz w:val="21"/>
              </w:rPr>
              <w:t>2.教学微课：3-5分钟，内容包含设备的安全使用方法，各项数据检测，教学过程，达到熟悉微课就可以熟悉设备，最大限度帮助老师教学，学生自学。</w:t>
            </w:r>
          </w:p>
          <w:p>
            <w:r>
              <w:rPr>
                <w:sz w:val="21"/>
              </w:rPr>
              <w:t>▲3.标书中，要求提供教学微课拍摄脚本。</w:t>
            </w:r>
          </w:p>
          <w:p>
            <w:r>
              <w:rPr>
                <w:sz w:val="21"/>
              </w:rPr>
              <w:t>五、教学实验展示台：</w:t>
            </w:r>
          </w:p>
          <w:p>
            <w:r>
              <w:rPr>
                <w:sz w:val="21"/>
              </w:rPr>
              <w:t>1.展示元件内部结构，带灯光控制，元件用线切割剖面处理，能清楚表达内部结构和传动关系，直接展示工作过程，各部件的构造和安装。</w:t>
            </w:r>
          </w:p>
          <w:p>
            <w:r>
              <w:rPr>
                <w:sz w:val="21"/>
              </w:rPr>
              <w:t>2.利用不同颜色进行高低压区分，采用亚克力印刷标注。</w:t>
            </w:r>
          </w:p>
          <w:p>
            <w:r>
              <w:rPr>
                <w:sz w:val="21"/>
              </w:rPr>
              <w:t>3.配有多功能开发板：开发板采用磁吸端子供电，易于拆卸，亦可通过USB供电，用于完成整个实训室台架的通讯连接，实现联动控制，开发板采用C/C++编程语言+单片机技术完成的硬件模块，支持CAN通讯、UAST通讯、SPI通讯、I2C通讯、ADC采集、IO控制等功能；支持控制各种控制模块、通讯模块、显示模块等，可DIY不同的功能。</w:t>
            </w:r>
          </w:p>
          <w:p>
            <w:r>
              <w:rPr>
                <w:sz w:val="21"/>
              </w:rPr>
              <w:t>4.配套《动力电池拆装检修作业指导书》30本，参照工学一体六步法进行开发，内容包括但不少于以下任务：</w:t>
            </w:r>
          </w:p>
          <w:p>
            <w:r>
              <w:rPr>
                <w:sz w:val="21"/>
              </w:rPr>
              <w:t>任务一认识动力电池；</w:t>
            </w:r>
          </w:p>
          <w:p>
            <w:r>
              <w:rPr>
                <w:sz w:val="21"/>
              </w:rPr>
              <w:t>任务二更换动力电池组；</w:t>
            </w:r>
          </w:p>
          <w:p>
            <w:r>
              <w:rPr>
                <w:sz w:val="21"/>
              </w:rPr>
              <w:t>任务三 认识电池管理系统任务；</w:t>
            </w:r>
          </w:p>
          <w:p>
            <w:r>
              <w:rPr>
                <w:sz w:val="21"/>
              </w:rPr>
              <w:t>任务四电池管理系统故障检修；</w:t>
            </w:r>
          </w:p>
          <w:p>
            <w:r>
              <w:rPr>
                <w:sz w:val="21"/>
              </w:rPr>
              <w:t>任务五电池热管理系统故障检修。</w:t>
            </w:r>
          </w:p>
          <w:p>
            <w:r>
              <w:rPr>
                <w:sz w:val="21"/>
              </w:rPr>
              <w:t>▲5.标书中，要求提供《动力电池拆装检修作业指导书》样册。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说明</w:t>
            </w:r>
          </w:p>
        </w:tc>
        <w:tc>
          <w:tcPr>
            <w:tcW w:w="6229" w:type="dxa"/>
            <w:gridSpan w:val="2"/>
          </w:tcPr>
          <w:p>
            <w:pPr>
              <w:jc w:val="left"/>
            </w:pPr>
            <w:r>
              <w:t>打“★”号条款为实质性条款，若有任何一条负偏离或不满足则导致投标（响应）无效。</w:t>
            </w:r>
            <w:r>
              <w:br w:type="textWrapping"/>
            </w:r>
            <w:r>
              <w:t>打“▲”号条款为重要技术参数（如有），若有部分“▲”条款未响应或不满足，将根据评审要求影响其得分，但不作为无效投标（响应）条款。</w:t>
            </w:r>
          </w:p>
        </w:tc>
      </w:tr>
    </w:tbl>
    <w:p/>
    <w:p>
      <w:r>
        <w:rPr>
          <w:b/>
          <w:sz w:val="24"/>
        </w:rPr>
        <w:t>附表七：氢燃料动力电池汽车高压控制系统装调检测工作站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参数性质</w:t>
            </w:r>
          </w:p>
        </w:tc>
        <w:tc>
          <w:tcPr>
            <w:tcW w:w="415" w:type="dxa"/>
          </w:tcPr>
          <w:p>
            <w:r>
              <w:t>序号</w:t>
            </w:r>
          </w:p>
        </w:tc>
        <w:tc>
          <w:tcPr>
            <w:tcW w:w="5814" w:type="dxa"/>
          </w:tcPr>
          <w:p>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r>
              <w:t>1</w:t>
            </w:r>
          </w:p>
        </w:tc>
        <w:tc>
          <w:tcPr>
            <w:tcW w:w="5814" w:type="dxa"/>
          </w:tcPr>
          <w:p>
            <w:r>
              <w:rPr>
                <w:sz w:val="21"/>
              </w:rPr>
              <w:t>一、产品要求</w:t>
            </w:r>
          </w:p>
          <w:p>
            <w:pPr>
              <w:ind w:firstLine="360"/>
            </w:pPr>
            <w:r>
              <w:rPr>
                <w:sz w:val="21"/>
              </w:rPr>
              <w:t>本工作站按照氢燃料动力电池汽车高压控制系统装调检测岗位及“氢能源应用技术课程标准”设计开发，与课程包配套使用。主要由主流车用燃料电池控制器、电机控制器、升压转换器等组成，可完成氢燃料动力电池汽车高压控制系统结构、原理、检测等教学。</w:t>
            </w:r>
          </w:p>
          <w:p>
            <w:r>
              <w:rPr>
                <w:sz w:val="21"/>
              </w:rPr>
              <w:t>二、实验实训项目</w:t>
            </w:r>
          </w:p>
          <w:p>
            <w:r>
              <w:rPr>
                <w:sz w:val="21"/>
              </w:rPr>
              <w:t>1.燃料电池控制器结构原理认知：采用氢燃料动力电池汽车燃料电池控制器，采用局部切割技术制作，充分展示控制器的结构与工作原理；</w:t>
            </w:r>
          </w:p>
          <w:p>
            <w:r>
              <w:rPr>
                <w:sz w:val="21"/>
              </w:rPr>
              <w:t>2.电机控制结构原理认知：采用氢燃料动力电池汽车电机控制器，采用局部切割技术制作，充分展示控制器的结构与工作原理；；</w:t>
            </w:r>
          </w:p>
          <w:p>
            <w:r>
              <w:rPr>
                <w:sz w:val="21"/>
              </w:rPr>
              <w:t>3.升压转换器结构原理认知：采用氢燃料动力电池汽车升压转换器（DC/DC控制转换），采用局部切割技术制作，充分展示升压转换器的结构与工作原理；</w:t>
            </w:r>
          </w:p>
          <w:p>
            <w:r>
              <w:rPr>
                <w:sz w:val="21"/>
              </w:rPr>
              <w:t>三、设备技术参数</w:t>
            </w:r>
          </w:p>
          <w:p>
            <w:r>
              <w:rPr>
                <w:sz w:val="21"/>
              </w:rPr>
              <w:t>1.车用燃料电池控制器、电机控制、升压转换器，要求结构完整，性能正常；</w:t>
            </w:r>
          </w:p>
          <w:p>
            <w:r>
              <w:rPr>
                <w:sz w:val="21"/>
              </w:rPr>
              <w:t>2.高压控制器拆装维护专用工具；</w:t>
            </w:r>
          </w:p>
          <w:p>
            <w:r>
              <w:rPr>
                <w:sz w:val="21"/>
              </w:rPr>
              <w:t>3.外形尺寸：不小于1200mm×700mm×1800mm（长×宽×高）；</w:t>
            </w:r>
          </w:p>
          <w:p>
            <w:r>
              <w:rPr>
                <w:sz w:val="21"/>
              </w:rPr>
              <w:t>四、教学支持</w:t>
            </w:r>
          </w:p>
          <w:p>
            <w:r>
              <w:rPr>
                <w:sz w:val="21"/>
              </w:rPr>
              <w:t>1.配有燃料电池汽车高压控制器工作原理、结构、动态检测教学演示，要求采用FLASH软件制作，可完成高压控制器的结构、控制过程、安全保护的动态演示，配合高压控制器检修课程标准的基础学习。</w:t>
            </w:r>
          </w:p>
          <w:p>
            <w:r>
              <w:rPr>
                <w:sz w:val="21"/>
              </w:rPr>
              <w:t>2.教学微课：3-5分钟，内容包含设备的安全使用方法，各项数据检测，教学过程，达到熟悉微课就可以熟悉设备，最大限度帮助老师教学，学生自学。</w:t>
            </w:r>
          </w:p>
          <w:p>
            <w:r>
              <w:rPr>
                <w:sz w:val="21"/>
              </w:rPr>
              <w:t>五、教学实验展示台：</w:t>
            </w:r>
          </w:p>
          <w:p>
            <w:r>
              <w:rPr>
                <w:sz w:val="21"/>
              </w:rPr>
              <w:t>1.展示元件内部结构，带灯光控制，元件用线切割剖面处理，能清楚表达内部结构和传动关系，直接展示工作过程，各部件的构造和安装。</w:t>
            </w:r>
          </w:p>
          <w:p>
            <w:r>
              <w:rPr>
                <w:sz w:val="21"/>
              </w:rPr>
              <w:t>2.利用不同颜色进行高低压区分，采用亚克力印刷标注。</w:t>
            </w:r>
          </w:p>
          <w:p>
            <w:r>
              <w:rPr>
                <w:sz w:val="21"/>
              </w:rPr>
              <w:t>3.配有多功能开发板：开发板采用磁吸端子供电，易于拆卸，亦可通过USB供电，用于完成整个实训室台架的通讯连接，实现联动控制，开发板采用C/C++编程语言+单片机技术完成的硬件模块，支持CAN通讯、UAST通讯、SPI通讯、I2C通讯、ADC采集、IO控制等功能；支持控制各种控制模块、通讯模块、显示模块等，可DIY不同的功能，可完成实训技能考核功能。</w:t>
            </w:r>
          </w:p>
          <w:p>
            <w:r>
              <w:rPr>
                <w:sz w:val="21"/>
              </w:rPr>
              <w:t>▲4.为保证所投产品的自主研发、扩展等高水平能力，所投产品须具有实训技能考核系统软件著作权证书，提供证书复印件并加盖投标人公章，原件备查。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说明</w:t>
            </w:r>
          </w:p>
        </w:tc>
        <w:tc>
          <w:tcPr>
            <w:tcW w:w="6229" w:type="dxa"/>
            <w:gridSpan w:val="2"/>
          </w:tcPr>
          <w:p>
            <w:pPr>
              <w:jc w:val="left"/>
            </w:pPr>
            <w:r>
              <w:t>打“★”号条款为实质性条款，若有任何一条负偏离或不满足则导致投标（响应）无效。</w:t>
            </w:r>
            <w:r>
              <w:br w:type="textWrapping"/>
            </w:r>
            <w:r>
              <w:t>打“▲”号条款为重要技术参数（如有），若有部分“▲”条款未响应或不满足，将根据评审要求影响其得分，但不作为无效投标（响应）条款。</w:t>
            </w:r>
          </w:p>
        </w:tc>
      </w:tr>
    </w:tbl>
    <w:p/>
    <w:p>
      <w:r>
        <w:rPr>
          <w:b/>
          <w:sz w:val="24"/>
        </w:rPr>
        <w:t>附表八：燃料电池驱动电机装调检测工作站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参数性质</w:t>
            </w:r>
          </w:p>
        </w:tc>
        <w:tc>
          <w:tcPr>
            <w:tcW w:w="415" w:type="dxa"/>
          </w:tcPr>
          <w:p>
            <w:r>
              <w:t>序号</w:t>
            </w:r>
          </w:p>
        </w:tc>
        <w:tc>
          <w:tcPr>
            <w:tcW w:w="5814" w:type="dxa"/>
          </w:tcPr>
          <w:p>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r>
              <w:t>1</w:t>
            </w:r>
          </w:p>
        </w:tc>
        <w:tc>
          <w:tcPr>
            <w:tcW w:w="5814" w:type="dxa"/>
          </w:tcPr>
          <w:p>
            <w:r>
              <w:rPr>
                <w:sz w:val="21"/>
              </w:rPr>
              <w:t>一、产品要求</w:t>
            </w:r>
          </w:p>
          <w:p>
            <w:pPr>
              <w:ind w:firstLine="360"/>
            </w:pPr>
            <w:r>
              <w:rPr>
                <w:sz w:val="21"/>
              </w:rPr>
              <w:t>本工作站按照“氢能源应用技术课程标准”设计开发，与氢燃料动力汽车驱动电机课程包配套使用。主要由驱动电机总成、变速箱总成、电机散热系统等组成，可完成驱动电机系统结构、原理、检测等教学。</w:t>
            </w:r>
          </w:p>
          <w:p>
            <w:r>
              <w:rPr>
                <w:sz w:val="21"/>
              </w:rPr>
              <w:t>二、实验实训项目</w:t>
            </w:r>
          </w:p>
          <w:p>
            <w:r>
              <w:rPr>
                <w:sz w:val="21"/>
              </w:rPr>
              <w:t>1.驱动电机结构原理认知：采用氢燃料动力电池汽车驱动电机总成实物，局部切割技术制作，充分展示驱动电机的结构与工作原理；</w:t>
            </w:r>
          </w:p>
          <w:p>
            <w:r>
              <w:rPr>
                <w:sz w:val="21"/>
              </w:rPr>
              <w:t>2.驱动电机拆装</w:t>
            </w:r>
          </w:p>
          <w:p>
            <w:r>
              <w:rPr>
                <w:sz w:val="21"/>
              </w:rPr>
              <w:t>3.驱动电机检测与维护：使用专用工具，完成驱动电机检测与维护；</w:t>
            </w:r>
          </w:p>
          <w:p>
            <w:r>
              <w:rPr>
                <w:sz w:val="21"/>
              </w:rPr>
              <w:t>三、设备技术参数</w:t>
            </w:r>
          </w:p>
          <w:p>
            <w:r>
              <w:rPr>
                <w:sz w:val="21"/>
              </w:rPr>
              <w:t>1.车用驱动电机总成、变速器总成、变速器散热系统等附件，要求结构完整，性能正常；</w:t>
            </w:r>
          </w:p>
          <w:p>
            <w:r>
              <w:rPr>
                <w:sz w:val="21"/>
              </w:rPr>
              <w:t>2.驱动电机拆装维护专用工具；</w:t>
            </w:r>
          </w:p>
          <w:p>
            <w:r>
              <w:rPr>
                <w:sz w:val="21"/>
              </w:rPr>
              <w:t>3.外形尺寸：不小于1200mm×700mm×1800mm（长×宽×高）；</w:t>
            </w:r>
          </w:p>
          <w:p>
            <w:r>
              <w:rPr>
                <w:sz w:val="21"/>
              </w:rPr>
              <w:t>四、教学支持</w:t>
            </w:r>
          </w:p>
          <w:p>
            <w:r>
              <w:rPr>
                <w:sz w:val="21"/>
              </w:rPr>
              <w:t>1.配有驱动电机工作原理、结构、动态检测教学演示，要求采用FLASH软件制作，可完成驱动电机的结构、控制过程、安全保护的动态演示，配合驱动电机检修课程标准的基础学习。</w:t>
            </w:r>
          </w:p>
          <w:p>
            <w:r>
              <w:rPr>
                <w:sz w:val="21"/>
              </w:rPr>
              <w:t>2.教学微课：3-5分钟，内容包含设备的安全使用方法，各项数据检测，教学过程，达到熟悉微课就可以熟悉设备，最大限度帮助老师教学，学生自学。</w:t>
            </w:r>
          </w:p>
          <w:p>
            <w:r>
              <w:rPr>
                <w:sz w:val="21"/>
              </w:rPr>
              <w:t>五、教学实验展示台：</w:t>
            </w:r>
          </w:p>
          <w:p>
            <w:r>
              <w:rPr>
                <w:sz w:val="21"/>
              </w:rPr>
              <w:t>1.展示元件内部结构，带灯光控制，元件用线切割剖面处理，能清楚表达内部结构和传动关系，直接展示工作过程，各部件的构造和安装。</w:t>
            </w:r>
          </w:p>
          <w:p>
            <w:r>
              <w:rPr>
                <w:sz w:val="21"/>
              </w:rPr>
              <w:t>2.利用不同颜色进行高低压区分，采用亚克力印刷标注。</w:t>
            </w:r>
          </w:p>
          <w:p>
            <w:r>
              <w:rPr>
                <w:sz w:val="21"/>
              </w:rPr>
              <w:t>3.配有多功能开发板：开发板采用磁吸端子供电，易于拆卸，亦可通过USB供电，用于完成整个实训室台架的通讯连接，实现联动控制，开发板采用C/C++编程语言+单片机技术完成的硬件模块，支持CAN通讯、UAST通讯、SPI通讯、I2C通讯、ADC采集、IO控制等功能；支持控制各种控制模块、通讯模块、显示模块等，可DIY不同的功能。</w:t>
            </w:r>
          </w:p>
          <w:p>
            <w:r>
              <w:rPr>
                <w:sz w:val="21"/>
              </w:rPr>
              <w:t>4.配套《驱动电机拆装检修作业指导书》30本，参照工学一体六步法进行开发，内容包括但不少于以下任务：</w:t>
            </w:r>
          </w:p>
          <w:p>
            <w:r>
              <w:rPr>
                <w:sz w:val="21"/>
              </w:rPr>
              <w:t>任务一认识驱动电机；</w:t>
            </w:r>
          </w:p>
          <w:p>
            <w:r>
              <w:rPr>
                <w:sz w:val="21"/>
              </w:rPr>
              <w:t>任务二拆装驱动电机；</w:t>
            </w:r>
          </w:p>
          <w:p>
            <w:r>
              <w:rPr>
                <w:sz w:val="21"/>
              </w:rPr>
              <w:t>任务三 电机控制系统故障检修；</w:t>
            </w:r>
          </w:p>
          <w:p>
            <w:r>
              <w:rPr>
                <w:sz w:val="21"/>
              </w:rPr>
              <w:t>任务四电机冷却系统检修.</w:t>
            </w:r>
          </w:p>
          <w:p>
            <w:r>
              <w:rPr>
                <w:sz w:val="21"/>
              </w:rPr>
              <w:t>▲5.标书中，要求提供《驱动电机拆装检修作业指导书》样册。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说明</w:t>
            </w:r>
          </w:p>
        </w:tc>
        <w:tc>
          <w:tcPr>
            <w:tcW w:w="6229" w:type="dxa"/>
            <w:gridSpan w:val="2"/>
          </w:tcPr>
          <w:p>
            <w:pPr>
              <w:jc w:val="left"/>
            </w:pPr>
            <w:r>
              <w:t>打“★”号条款为实质性条款，若有任何一条负偏离或不满足则导致投标（响应）无效。</w:t>
            </w:r>
            <w:r>
              <w:br w:type="textWrapping"/>
            </w:r>
            <w:r>
              <w:t>打“▲”号条款为重要技术参数（如有），若有部分“▲”条款未响应或不满足，将根据评审要求影响其得分，但不作为无效投标（响应）条款。</w:t>
            </w:r>
          </w:p>
        </w:tc>
      </w:tr>
    </w:tbl>
    <w:p/>
    <w:p>
      <w:r>
        <w:rPr>
          <w:b/>
          <w:sz w:val="24"/>
        </w:rPr>
        <w:t>附表九：专业文化氛围建设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参数性质</w:t>
            </w:r>
          </w:p>
        </w:tc>
        <w:tc>
          <w:tcPr>
            <w:tcW w:w="415" w:type="dxa"/>
          </w:tcPr>
          <w:p>
            <w:r>
              <w:t>序号</w:t>
            </w:r>
          </w:p>
        </w:tc>
        <w:tc>
          <w:tcPr>
            <w:tcW w:w="5814" w:type="dxa"/>
          </w:tcPr>
          <w:p>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r>
              <w:t>1</w:t>
            </w:r>
          </w:p>
        </w:tc>
        <w:tc>
          <w:tcPr>
            <w:tcW w:w="5814" w:type="dxa"/>
          </w:tcPr>
          <w:p>
            <w:r>
              <w:rPr>
                <w:sz w:val="21"/>
              </w:rPr>
              <w:t>1.结合氢能应用龙头企业（如国鸿氢能）企业文化及氢能应用场景设计，根据实训室场地布局，建设体现氢能应用专业的场室文化氛围，包含场室灯光设计及施工、场室文化墙设计及施工、场室工位布局规划及施工，为落地与国鸿氢能等国内氢能应用头部企业共建氢能企业培训基地奠定基础。</w:t>
            </w:r>
          </w:p>
          <w:p>
            <w:r>
              <w:rPr>
                <w:sz w:val="21"/>
              </w:rPr>
              <w:t>▲2.标书中，要求提供满足场地建设要求的建设平面设计图。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说明</w:t>
            </w:r>
          </w:p>
        </w:tc>
        <w:tc>
          <w:tcPr>
            <w:tcW w:w="6229" w:type="dxa"/>
            <w:gridSpan w:val="2"/>
          </w:tcPr>
          <w:p>
            <w:pPr>
              <w:jc w:val="left"/>
            </w:pPr>
            <w:r>
              <w:t>打“★”号条款为实质性条款，若有任何一条负偏离或不满足则导致投标（响应）无效。</w:t>
            </w:r>
            <w:r>
              <w:br w:type="textWrapping"/>
            </w:r>
            <w:r>
              <w:t>打“▲”号条款为重要技术参数（如有），若有部分“▲”条款未响应或不满足，将根据评审要求影响其得分，但不作为无效投标（响应）条款。</w:t>
            </w:r>
          </w:p>
        </w:tc>
      </w:tr>
    </w:tbl>
    <w:p/>
    <w:p>
      <w:r>
        <w:rPr>
          <w:b/>
          <w:sz w:val="24"/>
        </w:rPr>
        <w:t>附表一十：氢能应用专业核心课程工学一体化教学资源开发</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参数性质</w:t>
            </w:r>
          </w:p>
        </w:tc>
        <w:tc>
          <w:tcPr>
            <w:tcW w:w="415" w:type="dxa"/>
          </w:tcPr>
          <w:p>
            <w:r>
              <w:t>序号</w:t>
            </w:r>
          </w:p>
        </w:tc>
        <w:tc>
          <w:tcPr>
            <w:tcW w:w="5814" w:type="dxa"/>
          </w:tcPr>
          <w:p>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r>
              <w:t>1</w:t>
            </w:r>
          </w:p>
        </w:tc>
        <w:tc>
          <w:tcPr>
            <w:tcW w:w="5814" w:type="dxa"/>
          </w:tcPr>
          <w:p>
            <w:r>
              <w:rPr>
                <w:sz w:val="21"/>
              </w:rPr>
              <w:t>课程资源：</w:t>
            </w:r>
          </w:p>
          <w:p>
            <w:r>
              <w:rPr>
                <w:sz w:val="21"/>
              </w:rPr>
              <w:t>1.结合所采购的燃料电池堆装调检测工作站、燃料电池系统DC-DC 变换器装调检测工作站、高压储氢系统装调检测工作站、氢气加注系统与浓度监测装调检测工作站、燃料电池散热系统装调检测工作站、辅助动力电池装调检测工作站、燃料动力电池汽车高压控制系统装调检测工作站、燃料电池驱动电机装调检测工作站配套设备要求共同完成人才培养方案编写、2-3门课程标准编写、校本教材编写、教学工作页编写、教学设计等教学资源开发</w:t>
            </w:r>
          </w:p>
          <w:p>
            <w:r>
              <w:rPr>
                <w:sz w:val="21"/>
              </w:rPr>
              <w:t>2.资料查询系统：3台/套</w:t>
            </w:r>
          </w:p>
          <w:p>
            <w:r>
              <w:rPr>
                <w:sz w:val="21"/>
              </w:rPr>
              <w:t>3.根据氢能应用企业岗位能力要求结合企业专业指定课程制作2-3门精品，至少包含以下内容：</w:t>
            </w:r>
          </w:p>
          <w:p>
            <w:r>
              <w:rPr>
                <w:sz w:val="21"/>
              </w:rPr>
              <w:t>4.根据工学一体化教学要求组织实践专家访谈会，完成氢能应用专业人才培养方案编写，并聘请氢能应用实践专家组建学校氢能专业建设指导委员会。</w:t>
            </w:r>
          </w:p>
          <w:p>
            <w:r>
              <w:rPr>
                <w:sz w:val="21"/>
              </w:rPr>
              <w:t>▲5.标书中，要求提供实践专家访谈会实施方案，方案应合理可行。</w:t>
            </w:r>
          </w:p>
          <w:p>
            <w:r>
              <w:rPr>
                <w:sz w:val="21"/>
              </w:rPr>
              <w:t>6.根据工学一体化教学要求，完成2-3门专业核心课程课程标准的编写；</w:t>
            </w:r>
          </w:p>
          <w:p>
            <w:r>
              <w:rPr>
                <w:sz w:val="21"/>
              </w:rPr>
              <w:t>7.校企联合开发教材：内容采购人中标人双方商定，完成校本教材编写，并能应用与教学中，教材要求与国内主流氢能应用企业共同编写；</w:t>
            </w:r>
          </w:p>
          <w:p>
            <w:r>
              <w:rPr>
                <w:sz w:val="21"/>
              </w:rPr>
              <w:t xml:space="preserve"> 8.校企联合开发学习工作页：为满足工学一体化教学实施要求，编写与教材配套的学习工作页，要求与国内主流氢能应用企业共同编写，学习工作页体现工学一体化教学实施流程，按“接受任务-收集信息-制定计划-任务实施-评价反馈”等环节构成，充分体现工学一体化教学流程；</w:t>
            </w:r>
          </w:p>
          <w:p>
            <w:r>
              <w:rPr>
                <w:sz w:val="21"/>
              </w:rPr>
              <w:t>9.完成工学一体化教学设计，教学设计按工学一体化教学要求，结合学校教学资源开发。</w:t>
            </w:r>
          </w:p>
          <w:p>
            <w:pPr>
              <w:ind w:firstLine="210"/>
            </w:pPr>
            <w:r>
              <w:rPr>
                <w:sz w:val="21"/>
              </w:rPr>
              <w:t>10.资料查询系统：为满足教学资源能应用到教学中，配套3台教学手提电脑，将教学资源存放在教学电脑中。主要参数如下：轻薄笔记本，系统：Windows 11，厚度约：18.1-20.0mm、显卡芯片供应商：AMD、存容量：16GB、能效等级：一级能效、支持IPv6：支持IPv6、处理器：AMD R5、屏幕刷新率：60Hz、屏幕尺寸：14.0-14.9英寸、内存可扩展，面部识别，长续航、显卡型号：集成显卡、固态硬盘（SSD）：512GB。</w:t>
            </w:r>
          </w:p>
          <w:p>
            <w:r>
              <w:rPr>
                <w:sz w:val="21"/>
              </w:rPr>
              <w:t>▲11.</w:t>
            </w:r>
            <w:r>
              <w:rPr>
                <w:sz w:val="19"/>
              </w:rPr>
              <w:t>为保证所投产品的自主研发、扩展等高水平能力，投标人须具有</w:t>
            </w:r>
            <w:r>
              <w:rPr>
                <w:sz w:val="21"/>
              </w:rPr>
              <w:t>汽车工学一体教学平台</w:t>
            </w:r>
            <w:r>
              <w:rPr>
                <w:sz w:val="19"/>
              </w:rPr>
              <w:t>类软件著作权证书，提供证书复印件并加盖投标人公章，原件备查。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说明</w:t>
            </w:r>
          </w:p>
        </w:tc>
        <w:tc>
          <w:tcPr>
            <w:tcW w:w="6229" w:type="dxa"/>
            <w:gridSpan w:val="2"/>
          </w:tcPr>
          <w:p>
            <w:pPr>
              <w:jc w:val="left"/>
            </w:pPr>
            <w:r>
              <w:t>打“★”号条款为实质性条款，若有任何一条负偏离或不满足则导致投标（响应）无效。</w:t>
            </w:r>
            <w:r>
              <w:br w:type="textWrapping"/>
            </w:r>
            <w:r>
              <w:t>打“▲”号条款为重要技术参数（如有），若有部分“▲”条款未响应或不满足，将根据评审要求影响其得分，但不作为无效投标（响应）条款。</w:t>
            </w:r>
          </w:p>
        </w:tc>
      </w:tr>
    </w:tbl>
    <w:p/>
    <w:p>
      <w:r>
        <w:rPr>
          <w:b/>
          <w:sz w:val="24"/>
        </w:rPr>
        <w:t>附表一十一：师资培训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参数性质</w:t>
            </w:r>
          </w:p>
        </w:tc>
        <w:tc>
          <w:tcPr>
            <w:tcW w:w="415" w:type="dxa"/>
          </w:tcPr>
          <w:p>
            <w:r>
              <w:t>序号</w:t>
            </w:r>
          </w:p>
        </w:tc>
        <w:tc>
          <w:tcPr>
            <w:tcW w:w="5814" w:type="dxa"/>
          </w:tcPr>
          <w:p>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r>
              <w:t>1</w:t>
            </w:r>
          </w:p>
        </w:tc>
        <w:tc>
          <w:tcPr>
            <w:tcW w:w="5814" w:type="dxa"/>
          </w:tcPr>
          <w:p>
            <w:r>
              <w:rPr>
                <w:sz w:val="21"/>
              </w:rPr>
              <w:t>1.培养2-3名氢能应用专业一体化专业核心课程教学师资，并为汽车系其他老师培训氢能应用专业通识课程，使一体化教学师资能承担专业核心课程的教学实施，具有一定的专业理论知识及专业实践技能，培训计划如下：</w:t>
            </w:r>
          </w:p>
          <w:p>
            <w:r>
              <w:rPr>
                <w:sz w:val="21"/>
              </w:rPr>
              <w:t>专业核心课程技术培训5天</w:t>
            </w:r>
          </w:p>
          <w:p>
            <w:r>
              <w:rPr>
                <w:sz w:val="21"/>
              </w:rPr>
              <w:t>企业岗位实践培训30天</w:t>
            </w:r>
          </w:p>
          <w:p>
            <w:r>
              <w:rPr>
                <w:sz w:val="21"/>
              </w:rPr>
              <w:t>▲2.标书中，要求提供教师企业岗位实践培训计划，计划应具体可行。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说明</w:t>
            </w:r>
          </w:p>
        </w:tc>
        <w:tc>
          <w:tcPr>
            <w:tcW w:w="6229" w:type="dxa"/>
            <w:gridSpan w:val="2"/>
          </w:tcPr>
          <w:p>
            <w:pPr>
              <w:jc w:val="left"/>
            </w:pPr>
            <w:r>
              <w:t>打“★”号条款为实质性条款，若有任何一条负偏离或不满足则导致投标（响应）无效。</w:t>
            </w:r>
            <w:r>
              <w:br w:type="textWrapping"/>
            </w:r>
            <w:r>
              <w:t>打“▲”号条款为重要技术参数（如有），若有部分“▲”条款未响应或不满足，将根据评审要求影响其得分，但不作为无效投标（响应）条款。</w:t>
            </w:r>
          </w:p>
        </w:tc>
      </w:tr>
    </w:tbl>
    <w:p/>
    <w:p>
      <w:pPr>
        <w:ind w:firstLine="480"/>
      </w:pPr>
    </w:p>
    <w:p>
      <w:r>
        <w:t xml:space="preserve"> </w:t>
      </w:r>
    </w:p>
    <w:p/>
    <w:p>
      <w:pPr>
        <w:jc w:val="center"/>
      </w:pPr>
      <w:r>
        <w:rPr>
          <w:b/>
          <w:sz w:val="36"/>
        </w:rPr>
        <w:t>第三章 投标人须知</w:t>
      </w:r>
    </w:p>
    <w:p>
      <w:pPr>
        <w:ind w:firstLine="480"/>
      </w:pPr>
      <w: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ind w:firstLine="480"/>
      </w:pPr>
      <w:r>
        <w:t>请注意：供应商需在投标文件截止时间前，将加密投标文件上传至云平台项目采购系统中并取得回执，逾期上传或错误方式投递送达将导致投标无效。</w:t>
      </w:r>
    </w:p>
    <w:p>
      <w:r>
        <w:rPr>
          <w:b/>
          <w:sz w:val="24"/>
        </w:rPr>
        <w:t>一、名词解释</w:t>
      </w:r>
    </w:p>
    <w:p>
      <w:pPr>
        <w:ind w:firstLine="480"/>
      </w:pPr>
      <w:r>
        <w:t>1.采购代理机构：本项目是指广东晓君项目管理有限公司，负责整个采购活动的组织，依法负责编制和发布招标文件，对招标文件拥有最终的解释权，不以任何身份出任评标委员会成员。</w:t>
      </w:r>
    </w:p>
    <w:p>
      <w:pPr>
        <w:ind w:firstLine="480"/>
      </w:pPr>
      <w:r>
        <w:t>2.采购人：本项目是指云浮技师学院，是采购活动当事人之一，负责项目的整体规划、技术方案可行性设计论证与实施，作为合同采购方（用户）的主体承担质疑回复、履行合同、验收与评价等义务。</w:t>
      </w:r>
    </w:p>
    <w:p>
      <w:pPr>
        <w:ind w:firstLine="480"/>
      </w:pPr>
      <w:r>
        <w:t>3.投标人：是指在云平台项目采购系统完成本项目投标登记并提交电子投标文件的供应商。</w:t>
      </w:r>
    </w:p>
    <w:p>
      <w:pPr>
        <w:ind w:firstLine="480"/>
      </w:pPr>
      <w:r>
        <w:t>4.“评标委员会”是指根据《中华人民共和国政府采购法》等法律法规规定，由采购人代表和有关专家组成以确定中标供应商或者推荐中标候选人的临时组织。</w:t>
      </w:r>
    </w:p>
    <w:p>
      <w:pPr>
        <w:ind w:firstLine="480"/>
      </w:pPr>
      <w:r>
        <w:t>5.“中标供应商”是指经评标委员会评审确定的对招标文件做出实质性响应，经采购人按照规定在评标委员会推荐的中标候选人中确定的或评标委员会受采购人委托直接确认的投标人。</w:t>
      </w:r>
    </w:p>
    <w:p>
      <w:pPr>
        <w:ind w:firstLine="480"/>
      </w:pPr>
      <w:r>
        <w:t>6.招标文件：是指包括招标公告和招标文件及其补充、变更和澄清等一系列文件。</w:t>
      </w:r>
    </w:p>
    <w:p>
      <w:pPr>
        <w:ind w:firstLine="480"/>
      </w:pPr>
      <w:r>
        <w:t>7.电子投标文件：是指使用云平台提供的投标客户端制作加密并上传到系统的投标文件。（投标客户端制作投标文件时，生成的后缀为“.标书”的文件）</w:t>
      </w:r>
    </w:p>
    <w:p>
      <w:pPr>
        <w:ind w:firstLine="480"/>
      </w:pPr>
      <w:r>
        <w:t>8.备用电子投标文件：是指使用云平台提供的投标客户端制作电子投标文件时，同时生成的同一版本的备用投标文件。（投标客户端制作投标文件时，生成的后缀为“.备用标书”的文件）</w:t>
      </w:r>
    </w:p>
    <w:p>
      <w:pPr>
        <w:ind w:firstLine="480"/>
      </w:pPr>
      <w: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pPr>
      <w: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pPr>
      <w: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pPr>
      <w:r>
        <w:t>12.“法定代表人”：在电子投标（响应）文件及相关的其他电子资料中，涉及“法定代表人”应在纸质投标（响应）文件上进行手写签名，或通过投标客户端使用电子签名完成。</w:t>
      </w:r>
    </w:p>
    <w:p>
      <w:pPr>
        <w:ind w:firstLine="480"/>
      </w:pPr>
      <w:r>
        <w:t>13.日期、天数、时间：未有特别说明时，均为公历日（天）及北京时间。</w:t>
      </w:r>
    </w:p>
    <w:p>
      <w:pPr>
        <w:ind w:firstLine="480"/>
      </w:pPr>
    </w:p>
    <w:p>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1"/>
        <w:gridCol w:w="2186"/>
        <w:gridCol w:w="53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序号</w:t>
            </w:r>
          </w:p>
        </w:tc>
        <w:tc>
          <w:tcPr>
            <w:tcW w:w="2252" w:type="dxa"/>
          </w:tcPr>
          <w:p>
            <w:r>
              <w:t>条款名称</w:t>
            </w:r>
          </w:p>
        </w:tc>
        <w:tc>
          <w:tcPr>
            <w:tcW w:w="5004" w:type="dxa"/>
          </w:tcPr>
          <w:p>
            <w: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w:t>
            </w:r>
          </w:p>
        </w:tc>
        <w:tc>
          <w:tcPr>
            <w:tcW w:w="2252" w:type="dxa"/>
          </w:tcPr>
          <w:p>
            <w:r>
              <w:t>采购包情况</w:t>
            </w:r>
          </w:p>
        </w:tc>
        <w:tc>
          <w:tcPr>
            <w:tcW w:w="5004" w:type="dxa"/>
          </w:tcPr>
          <w:p>
            <w: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2</w:t>
            </w:r>
          </w:p>
        </w:tc>
        <w:tc>
          <w:tcPr>
            <w:tcW w:w="2252" w:type="dxa"/>
          </w:tcPr>
          <w:p>
            <w:r>
              <w:t>开标方式</w:t>
            </w:r>
          </w:p>
        </w:tc>
        <w:tc>
          <w:tcPr>
            <w:tcW w:w="5004" w:type="dxa"/>
          </w:tcPr>
          <w:p>
            <w:r>
              <w:t>现场电子开标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3</w:t>
            </w:r>
          </w:p>
        </w:tc>
        <w:tc>
          <w:tcPr>
            <w:tcW w:w="2252" w:type="dxa"/>
          </w:tcPr>
          <w:p>
            <w:r>
              <w:t>评标方式</w:t>
            </w:r>
          </w:p>
        </w:tc>
        <w:tc>
          <w:tcPr>
            <w:tcW w:w="5004" w:type="dxa"/>
          </w:tcPr>
          <w:p>
            <w: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4</w:t>
            </w:r>
          </w:p>
        </w:tc>
        <w:tc>
          <w:tcPr>
            <w:tcW w:w="2252" w:type="dxa"/>
          </w:tcPr>
          <w:p>
            <w:r>
              <w:t>评标办法</w:t>
            </w:r>
          </w:p>
        </w:tc>
        <w:tc>
          <w:tcPr>
            <w:tcW w:w="5004" w:type="dxa"/>
          </w:tcPr>
          <w:p>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5</w:t>
            </w:r>
          </w:p>
        </w:tc>
        <w:tc>
          <w:tcPr>
            <w:tcW w:w="2252" w:type="dxa"/>
          </w:tcPr>
          <w:p>
            <w:r>
              <w:t>报价形式</w:t>
            </w:r>
          </w:p>
        </w:tc>
        <w:tc>
          <w:tcPr>
            <w:tcW w:w="5004" w:type="dxa"/>
          </w:tcPr>
          <w:p/>
          <w:p>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6</w:t>
            </w:r>
          </w:p>
        </w:tc>
        <w:tc>
          <w:tcPr>
            <w:tcW w:w="2252" w:type="dxa"/>
          </w:tcPr>
          <w:p>
            <w:r>
              <w:t>报价要求</w:t>
            </w:r>
          </w:p>
        </w:tc>
        <w:tc>
          <w:tcPr>
            <w:tcW w:w="5004" w:type="dxa"/>
          </w:tcPr>
          <w:p>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7</w:t>
            </w:r>
          </w:p>
        </w:tc>
        <w:tc>
          <w:tcPr>
            <w:tcW w:w="2252" w:type="dxa"/>
          </w:tcPr>
          <w:p>
            <w:r>
              <w:t>现场踏勘</w:t>
            </w:r>
          </w:p>
        </w:tc>
        <w:tc>
          <w:tcPr>
            <w:tcW w:w="5004" w:type="dxa"/>
          </w:tcPr>
          <w:p/>
          <w:p>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8</w:t>
            </w:r>
          </w:p>
        </w:tc>
        <w:tc>
          <w:tcPr>
            <w:tcW w:w="2252" w:type="dxa"/>
          </w:tcPr>
          <w:p>
            <w:r>
              <w:t>投标有效期</w:t>
            </w:r>
          </w:p>
        </w:tc>
        <w:tc>
          <w:tcPr>
            <w:tcW w:w="5004" w:type="dxa"/>
          </w:tcPr>
          <w:p>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9</w:t>
            </w:r>
          </w:p>
        </w:tc>
        <w:tc>
          <w:tcPr>
            <w:tcW w:w="2252" w:type="dxa"/>
          </w:tcPr>
          <w:p>
            <w:r>
              <w:t>投标保证金</w:t>
            </w:r>
          </w:p>
        </w:tc>
        <w:tc>
          <w:tcPr>
            <w:tcW w:w="5004" w:type="dxa"/>
          </w:tcPr>
          <w:p>
            <w:pPr>
              <w:ind w:firstLine="480"/>
            </w:pPr>
          </w:p>
          <w:p>
            <w:r>
              <w:t>采购包1：保证金人民币：0.00元整。</w:t>
            </w:r>
          </w:p>
          <w:p>
            <w:r>
              <w:t>开户单位：无</w:t>
            </w:r>
          </w:p>
          <w:p>
            <w:r>
              <w:t>开户账号：无</w:t>
            </w:r>
          </w:p>
          <w:p>
            <w:r>
              <w:t>开户银行：无</w:t>
            </w:r>
          </w:p>
          <w:p>
            <w:r>
              <w:t>支票提交方式：无</w:t>
            </w:r>
          </w:p>
          <w:p>
            <w:r>
              <w:t>汇票、本票提交方式：无</w:t>
            </w:r>
          </w:p>
          <w:p/>
          <w:p>
            <w:pPr>
              <w:ind w:firstLine="480"/>
            </w:pPr>
            <w:r>
              <w:t>投标保证金有效期∶与投标有效期一致。</w:t>
            </w:r>
          </w:p>
          <w:p>
            <w:pPr>
              <w:ind w:firstLine="480"/>
            </w:pPr>
            <w:r>
              <w:t>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10</w:t>
            </w:r>
          </w:p>
        </w:tc>
        <w:tc>
          <w:tcPr>
            <w:tcW w:w="2252" w:type="dxa"/>
          </w:tcPr>
          <w:p>
            <w:r>
              <w:t>投标文件要求</w:t>
            </w:r>
          </w:p>
        </w:tc>
        <w:tc>
          <w:tcPr>
            <w:tcW w:w="5004" w:type="dxa"/>
          </w:tcPr>
          <w:p>
            <w:pPr>
              <w:ind w:firstLine="480"/>
            </w:pPr>
            <w:r>
              <w:t>一、电子投标文件：</w:t>
            </w:r>
          </w:p>
          <w:p>
            <w:pPr>
              <w:ind w:firstLine="480"/>
            </w:pPr>
            <w:r>
              <w:t>（1）加密的电子投标文件 1 份（需在递交投标文件截止时间前成功上传至“云平台项目采购系统”）。</w:t>
            </w:r>
          </w:p>
          <w:p>
            <w:pPr>
              <w:ind w:firstLine="480"/>
            </w:pPr>
            <w:r>
              <w:t>供应商应保证该优先步骤</w:t>
            </w:r>
          </w:p>
          <w:p>
            <w:pPr>
              <w:ind w:firstLine="480"/>
            </w:pPr>
            <w:r>
              <w:t>（2）若现场无法使用系统进行电子开评标的，供应商须在开标现场递交非加密电子版投标文件U盘（或光盘）1份。</w:t>
            </w:r>
          </w:p>
          <w:p>
            <w:pPr>
              <w:ind w:firstLine="480"/>
            </w:pPr>
            <w:r>
              <w:t>供应商保证该后备步骤。</w:t>
            </w:r>
          </w:p>
          <w:p>
            <w:pPr>
              <w:ind w:firstLine="480"/>
            </w:pPr>
            <w:r>
              <w:t>二、纸质投标文件：</w:t>
            </w:r>
          </w:p>
          <w:p>
            <w:pPr>
              <w:ind w:firstLine="480"/>
            </w:pPr>
            <w:r>
              <w:t>（3）纸质投标文件正本1份，纸质投标文件副本2份。</w:t>
            </w:r>
          </w:p>
          <w:p>
            <w:pPr>
              <w:ind w:firstLine="480"/>
            </w:pPr>
            <w:r>
              <w:t>供应商须满足上述事项“一、电子投标文件”中（1）或（2）的要求，和“二、纸质投标文件”的要求。请保证电子投标文件应与纸质投标文件（如有）一致，如不一致时以电子投标文件为准。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11</w:t>
            </w:r>
          </w:p>
        </w:tc>
        <w:tc>
          <w:tcPr>
            <w:tcW w:w="2252" w:type="dxa"/>
          </w:tcPr>
          <w:p>
            <w:r>
              <w:t>中标候选供应商推荐家数</w:t>
            </w:r>
          </w:p>
        </w:tc>
        <w:tc>
          <w:tcPr>
            <w:tcW w:w="5004" w:type="dxa"/>
          </w:tcPr>
          <w:p>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12</w:t>
            </w:r>
          </w:p>
        </w:tc>
        <w:tc>
          <w:tcPr>
            <w:tcW w:w="2252" w:type="dxa"/>
          </w:tcPr>
          <w:p>
            <w:pPr>
              <w:ind w:firstLine="480"/>
            </w:pPr>
            <w:r>
              <w:t>中标供应商数量</w:t>
            </w:r>
          </w:p>
        </w:tc>
        <w:tc>
          <w:tcPr>
            <w:tcW w:w="5004" w:type="dxa"/>
          </w:tcPr>
          <w:p>
            <w:pPr>
              <w:ind w:firstLine="480"/>
            </w:pPr>
          </w:p>
          <w:p>
            <w:r>
              <w:t>采购包1：1家</w:t>
            </w:r>
          </w:p>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13</w:t>
            </w:r>
          </w:p>
        </w:tc>
        <w:tc>
          <w:tcPr>
            <w:tcW w:w="2252" w:type="dxa"/>
          </w:tcPr>
          <w:p>
            <w:pPr>
              <w:ind w:firstLine="480"/>
            </w:pPr>
            <w:r>
              <w:t>有效供应商家数</w:t>
            </w:r>
          </w:p>
        </w:tc>
        <w:tc>
          <w:tcPr>
            <w:tcW w:w="5004" w:type="dxa"/>
          </w:tcPr>
          <w:p>
            <w:pPr>
              <w:ind w:firstLine="480"/>
            </w:pPr>
          </w:p>
          <w:p>
            <w:pPr>
              <w:jc w:val="left"/>
            </w:pPr>
          </w:p>
          <w:p>
            <w:r>
              <w:t>采购包1：3家</w:t>
            </w:r>
          </w:p>
          <w:p/>
          <w:p>
            <w:pPr>
              <w:ind w:firstLine="480"/>
            </w:pPr>
            <w: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14</w:t>
            </w:r>
          </w:p>
        </w:tc>
        <w:tc>
          <w:tcPr>
            <w:tcW w:w="2252" w:type="dxa"/>
          </w:tcPr>
          <w:p>
            <w:r>
              <w:t>项目兼投兼中（兼投不兼中）规则</w:t>
            </w:r>
          </w:p>
        </w:tc>
        <w:tc>
          <w:tcPr>
            <w:tcW w:w="5004" w:type="dxa"/>
          </w:tcPr>
          <w:p>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15</w:t>
            </w:r>
          </w:p>
        </w:tc>
        <w:tc>
          <w:tcPr>
            <w:tcW w:w="2252" w:type="dxa"/>
          </w:tcPr>
          <w:p>
            <w:r>
              <w:t>中标供应商确定方式</w:t>
            </w:r>
          </w:p>
        </w:tc>
        <w:tc>
          <w:tcPr>
            <w:tcW w:w="5004" w:type="dxa"/>
          </w:tcPr>
          <w:p>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16</w:t>
            </w:r>
          </w:p>
        </w:tc>
        <w:tc>
          <w:tcPr>
            <w:tcW w:w="2252" w:type="dxa"/>
          </w:tcPr>
          <w:p>
            <w:r>
              <w:t>代理服务费</w:t>
            </w:r>
          </w:p>
        </w:tc>
        <w:tc>
          <w:tcPr>
            <w:tcW w:w="5004" w:type="dxa"/>
          </w:tcPr>
          <w:p>
            <w:r>
              <w:t>收取。</w:t>
            </w:r>
          </w:p>
          <w:p>
            <w:r>
              <w:t>采购机构代理服务收费标准：参照国家计委计价格[2002]1980号文及发改办价格[2003]857号文规定的服务类收费标准，向中标（成交）人收取以中标金额为基数的成交服务费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17</w:t>
            </w:r>
          </w:p>
        </w:tc>
        <w:tc>
          <w:tcPr>
            <w:tcW w:w="2252" w:type="dxa"/>
          </w:tcPr>
          <w:p>
            <w:r>
              <w:t>代理服务费收取方式</w:t>
            </w:r>
          </w:p>
        </w:tc>
        <w:tc>
          <w:tcPr>
            <w:tcW w:w="5004" w:type="dxa"/>
          </w:tcPr>
          <w:p>
            <w: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18</w:t>
            </w:r>
          </w:p>
        </w:tc>
        <w:tc>
          <w:tcPr>
            <w:tcW w:w="2252" w:type="dxa"/>
          </w:tcPr>
          <w:p>
            <w:r>
              <w:t>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19</w:t>
            </w:r>
          </w:p>
        </w:tc>
        <w:tc>
          <w:tcPr>
            <w:tcW w:w="2252" w:type="dxa"/>
          </w:tcPr>
          <w:p>
            <w:r>
              <w:t>开标解密时长</w:t>
            </w:r>
          </w:p>
        </w:tc>
        <w:tc>
          <w:tcPr>
            <w:tcW w:w="5004" w:type="dxa"/>
          </w:tcPr>
          <w:p/>
          <w:p>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20</w:t>
            </w:r>
          </w:p>
        </w:tc>
        <w:tc>
          <w:tcPr>
            <w:tcW w:w="2252" w:type="dxa"/>
          </w:tcPr>
          <w:p>
            <w:r>
              <w:t>专门面向中小企业采购</w:t>
            </w:r>
          </w:p>
        </w:tc>
        <w:tc>
          <w:tcPr>
            <w:tcW w:w="5004" w:type="dxa"/>
          </w:tcPr>
          <w:p>
            <w:pPr>
              <w:jc w:val="left"/>
            </w:pPr>
            <w:r>
              <w:t>采购包1：是</w:t>
            </w:r>
          </w:p>
        </w:tc>
      </w:tr>
    </w:tbl>
    <w:p>
      <w:r>
        <w:rPr>
          <w:b/>
          <w:sz w:val="28"/>
        </w:rPr>
        <w:t>三、说明</w:t>
      </w:r>
    </w:p>
    <w:p>
      <w:r>
        <w:rPr>
          <w:b/>
          <w:sz w:val="24"/>
        </w:rPr>
        <w:t>1.总则</w:t>
      </w:r>
    </w:p>
    <w:p>
      <w:pPr>
        <w:ind w:firstLine="480"/>
      </w:pPr>
      <w:r>
        <w:t>采购人、采购代理机构及投标人进行的本次采购活动适用《中华人民共和国政府采购法》及其配套的法规、规章、政策。</w:t>
      </w:r>
    </w:p>
    <w:p>
      <w:pPr>
        <w:ind w:firstLine="480"/>
      </w:pPr>
      <w:r>
        <w:t>投标人应仔细阅读本项目招标公告及招标文件的所有内容（包括变更、补充、澄清以及修改等，且均为招标文件的组成部分），按照招标文件要求以及格式编制投标文件，并保证其真实性，否则一切后果自负。</w:t>
      </w:r>
    </w:p>
    <w:p>
      <w:pPr>
        <w:ind w:firstLine="480"/>
      </w:pPr>
      <w:r>
        <w:t>本次公开招标项目，是以招标公告的方式邀请非特定的投标人参加投标。</w:t>
      </w:r>
    </w:p>
    <w:p>
      <w:r>
        <w:rPr>
          <w:b/>
          <w:sz w:val="24"/>
        </w:rPr>
        <w:t>2.适用范围</w:t>
      </w:r>
    </w:p>
    <w:p>
      <w:pPr>
        <w:ind w:firstLine="480"/>
      </w:pPr>
      <w:r>
        <w:t>本招标文件仅适用于本次招标公告中所涉及的项目和内容。</w:t>
      </w:r>
    </w:p>
    <w:p>
      <w:r>
        <w:rPr>
          <w:b/>
          <w:sz w:val="24"/>
        </w:rPr>
        <w:t>3.进口产品</w:t>
      </w:r>
    </w:p>
    <w:p>
      <w:pPr>
        <w:ind w:firstLine="480"/>
      </w:pPr>
      <w:r>
        <w:t>若本项目允许采购进口产品，供应商应保证所投产品可履行合法报通关手续进入中国关境内。</w:t>
      </w:r>
    </w:p>
    <w:p>
      <w:pPr>
        <w:ind w:firstLine="480"/>
      </w:pPr>
      <w:r>
        <w:t>若本项目不允许采购进口产品，如供应商所投产品为进口产品，其响应将被认定为响应无效。</w:t>
      </w:r>
    </w:p>
    <w:p>
      <w:r>
        <w:rPr>
          <w:b/>
          <w:sz w:val="24"/>
        </w:rPr>
        <w:t>4.投标的费用</w:t>
      </w:r>
    </w:p>
    <w:p>
      <w:pPr>
        <w:ind w:firstLine="480"/>
      </w:pPr>
      <w:r>
        <w:t>不论投标结果如何，投标人应承担所有与准备和参加投标有关的费用。采购代理机构和采购人均无义务和责任承担相关费用。</w:t>
      </w:r>
    </w:p>
    <w:p>
      <w:r>
        <w:rPr>
          <w:b/>
          <w:sz w:val="24"/>
        </w:rPr>
        <w:t>5.以联合体形式投标的，应符合以下规定：</w:t>
      </w:r>
    </w:p>
    <w:p>
      <w:pPr>
        <w:ind w:firstLine="480"/>
      </w:pPr>
      <w:r>
        <w:t>5.1联合体各方均应当满足《政府采购法》第二十二条规定的条件，并在投标文件中提供联合体各方的相关证明材料。</w:t>
      </w:r>
    </w:p>
    <w:p>
      <w:pPr>
        <w:ind w:firstLine="480"/>
      </w:pPr>
      <w:r>
        <w:t>5.2</w:t>
      </w:r>
      <w:r>
        <w:tab/>
      </w:r>
      <w:r>
        <w:tab/>
      </w:r>
      <w:r>
        <w:t xml:space="preserve">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ind w:firstLine="480"/>
      </w:pPr>
      <w:r>
        <w:t>5.3</w:t>
      </w:r>
      <w:r>
        <w:tab/>
      </w:r>
      <w:r>
        <w:tab/>
      </w:r>
      <w:r>
        <w:t xml:space="preserve">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ind w:firstLine="480"/>
      </w:pPr>
      <w:r>
        <w:t>5.4联合体成员存在不良信用记录的，视同联合体存在不良信用记录。</w:t>
      </w:r>
    </w:p>
    <w:p>
      <w:pPr>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ind w:firstLine="480"/>
      </w:pPr>
      <w:r>
        <w:t>5.6联合体各方应当共同与采购人签订采购合同，就合同约定的事项对采购人承担连带责任。</w:t>
      </w:r>
    </w:p>
    <w:p>
      <w:r>
        <w:rPr>
          <w:b/>
          <w:sz w:val="24"/>
        </w:rPr>
        <w:t>6.关联企业投标说明</w:t>
      </w:r>
    </w:p>
    <w:p>
      <w:pPr>
        <w:ind w:firstLine="480"/>
      </w:pPr>
      <w:r>
        <w:t>6.1</w:t>
      </w:r>
      <w:r>
        <w:tab/>
      </w:r>
      <w:r>
        <w:tab/>
      </w:r>
      <w:r>
        <w:t xml:space="preserve"> 对于不接受联合体投标的采购项目（采购包）：法定代表人或单位负责人为同一个人或者存在直接控股、管理关系的不同供应商，不得同时参加同一项目或同一采购包的投标。如同时参加，则其投标将被拒绝。</w:t>
      </w:r>
    </w:p>
    <w:p>
      <w:pPr>
        <w:ind w:firstLine="480"/>
      </w:pPr>
      <w:r>
        <w:t>6.2</w:t>
      </w:r>
      <w:r>
        <w:tab/>
      </w:r>
      <w:r>
        <w:tab/>
      </w:r>
      <w:r>
        <w:t xml:space="preserve">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r>
        <w:rPr>
          <w:b/>
          <w:sz w:val="24"/>
        </w:rPr>
        <w:t>7.关于中小微企业投标</w:t>
      </w:r>
    </w:p>
    <w:p>
      <w:pPr>
        <w:ind w:firstLine="480"/>
      </w:pPr>
      <w: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tab/>
      </w:r>
      <w:r>
        <w:tab/>
      </w:r>
      <w:r>
        <w:t xml:space="preserve"> 中小企业划分见《关于印发中小企业划型标准规定的通知》（工信部联企业〔2011〕300号) 。</w:t>
      </w:r>
    </w:p>
    <w:p>
      <w:pPr>
        <w:ind w:firstLine="480"/>
      </w:pPr>
      <w:r>
        <w:t>根据财库〔2014〕68号《财政部</w:t>
      </w:r>
      <w:r>
        <w:tab/>
      </w:r>
      <w:r>
        <w:tab/>
      </w:r>
      <w:r>
        <w:t xml:space="preserve">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ind w:firstLine="480"/>
      </w:pPr>
      <w:r>
        <w:t>根据财库〔2017〕141号《财政部 民政部</w:t>
      </w:r>
      <w:r>
        <w:tab/>
      </w:r>
      <w:r>
        <w:tab/>
      </w:r>
      <w:r>
        <w:t xml:space="preserve"> 中国残疾人联合会关于促进残疾人就业政府采购政策的通知》，在政府采购活动中，残疾人福利性单位视同小型、微型企业，享受政府采购支持政策的残疾人福利性单位应当同时满足《财政部 民政部</w:t>
      </w:r>
      <w:r>
        <w:tab/>
      </w:r>
      <w:r>
        <w:tab/>
      </w:r>
      <w:r>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
        <w:rPr>
          <w:b/>
          <w:sz w:val="24"/>
        </w:rPr>
        <w:t>8.纪律与保密事项</w:t>
      </w:r>
    </w:p>
    <w:p>
      <w:pPr>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pPr>
        <w:ind w:firstLine="480"/>
      </w:pPr>
      <w:r>
        <w:t>8.2在确定中标供应商之前，投标人不得与采购人就投标价格、投标方案等实质性内容进行谈判，也不得私下接触评标委员会成员。</w:t>
      </w:r>
    </w:p>
    <w:p>
      <w:pPr>
        <w:ind w:firstLine="480"/>
      </w:pPr>
      <w:r>
        <w:t>8.3在确定中标供应商之前，投标人试图在投标文件审查、澄清、比较和评价时对评标委员会、采购人和采购代理机构施加任何影响都可能导致其投标无效。</w:t>
      </w:r>
    </w:p>
    <w:p>
      <w:pPr>
        <w:ind w:firstLine="480"/>
      </w:pPr>
      <w:r>
        <w:t>8.4获得本招标文件者，须履行本项目下保密义务，不得将因本次项目获得的信息向第三人外传，不得将招标文件用作本次投标以外的任何用途。</w:t>
      </w:r>
    </w:p>
    <w:p>
      <w:pPr>
        <w:ind w:firstLine="480"/>
      </w:pPr>
      <w: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ind w:firstLine="480"/>
      </w:pPr>
      <w:r>
        <w:t>8.6采购人或采购代理机构有权将供应商提供的所有资料向有关政府部门或评审小组披露。</w:t>
      </w:r>
    </w:p>
    <w:p>
      <w:pPr>
        <w:ind w:firstLine="480"/>
      </w:pPr>
      <w: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
        <w:rPr>
          <w:b/>
          <w:sz w:val="24"/>
        </w:rPr>
        <w:t>9.语言文字以及度量衡单位</w:t>
      </w:r>
    </w:p>
    <w:p>
      <w:pPr>
        <w:ind w:firstLine="480"/>
      </w:pPr>
      <w: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pPr>
      <w:r>
        <w:t>9.2除非招标文件的技术规格中另有规定，投标人在投标文件中及其与采购人和采购代理机构的所有往来文件中的计量单位均应采用中华人民共和国法定计量单位。</w:t>
      </w:r>
    </w:p>
    <w:p>
      <w:pPr>
        <w:ind w:firstLine="480"/>
      </w:pPr>
      <w:r>
        <w:t>9.3投标人所提供的货物和服务均应以人民币报价，货币单位：元。</w:t>
      </w:r>
    </w:p>
    <w:p>
      <w:r>
        <w:rPr>
          <w:b/>
          <w:sz w:val="24"/>
        </w:rPr>
        <w:t>10. 现场踏勘（如有）</w:t>
      </w:r>
    </w:p>
    <w:p>
      <w:pPr>
        <w:ind w:firstLine="480"/>
      </w:pPr>
      <w:r>
        <w:t>10.1招标文件规定组织踏勘现场的，采购人按招标文件规定的时间、地点组织投标人踏勘项目现场。</w:t>
      </w:r>
    </w:p>
    <w:p>
      <w:pPr>
        <w:ind w:firstLine="480"/>
      </w:pPr>
      <w:r>
        <w:t>10.2投标人自行承担踏勘现场发生的责任、风险和自身费用。</w:t>
      </w:r>
    </w:p>
    <w:p>
      <w:pPr>
        <w:ind w:firstLine="480"/>
      </w:pPr>
      <w:r>
        <w:t>10.3采购人在踏勘现场中介绍的资料和数据等，只是为了使投标人能够利用招标人现有的资料。招标人对投标人由此而作出的推论、解释和结论概不负责。</w:t>
      </w:r>
    </w:p>
    <w:p>
      <w:r>
        <w:rPr>
          <w:b/>
          <w:sz w:val="28"/>
        </w:rPr>
        <w:t>四、招标文件的澄清和修改</w:t>
      </w:r>
    </w:p>
    <w:p>
      <w:pPr>
        <w:ind w:firstLine="480"/>
      </w:pPr>
      <w: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ind w:firstLine="480"/>
      </w:pPr>
      <w: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ind w:firstLine="480"/>
      </w:pPr>
      <w:r>
        <w:t>3.如更正公告有重新发布电子招标文件的，供应商应登录云平台项目采购系统下载最新发布的电子招标文件制作投标文件。</w:t>
      </w:r>
    </w:p>
    <w:p>
      <w:pPr>
        <w:ind w:firstLine="480"/>
      </w:pPr>
      <w:r>
        <w:t>4.投标人在规定的时间内未对招标文件提出疑问、质疑或要求澄清的，将视其为无异议。对招标文件中描述有歧义或前后不一致的地方，评标委员会有权进行评判，但对同一条款的评判应适用于每个投标人。</w:t>
      </w:r>
    </w:p>
    <w:p>
      <w:r>
        <w:rPr>
          <w:b/>
          <w:sz w:val="28"/>
        </w:rPr>
        <w:t>五、投标要求</w:t>
      </w:r>
    </w:p>
    <w:p>
      <w:r>
        <w:rPr>
          <w:b/>
          <w:sz w:val="24"/>
        </w:rPr>
        <w:t>1.投标登记</w:t>
      </w:r>
    </w:p>
    <w:p>
      <w:pPr>
        <w:ind w:firstLine="480"/>
      </w:pPr>
      <w: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r>
        <w:rPr>
          <w:b/>
          <w:sz w:val="24"/>
        </w:rPr>
        <w:t>2.投标文件的制作</w:t>
      </w:r>
    </w:p>
    <w:p>
      <w:pPr>
        <w:ind w:firstLine="480"/>
      </w:pPr>
      <w:r>
        <w:t>2.1投标文件中，所有内容均以电子文件编制，其格式要求详见第六章说明。如因不按要求编制导致系统无法检索、读取相关信息时，其后果由投标人承担。</w:t>
      </w:r>
    </w:p>
    <w:p>
      <w:pPr>
        <w:ind w:firstLine="480"/>
      </w:pPr>
      <w:r>
        <w:t>2.2投标人应使用云平台提供的投标客户端编制、标记、加密投标文件，成功加密后将生成指定格式的电子投标文件和电子备用投标文件。所有投标文件不能进行压缩处理。关于电子投标报价（如有报价）说明如下：</w:t>
      </w:r>
    </w:p>
    <w:p>
      <w:pPr>
        <w:ind w:firstLine="480"/>
      </w:pPr>
      <w: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ind w:firstLine="480"/>
      </w:pPr>
      <w:r>
        <w:t>(2)投标报价包括本项目采购需求和投入使用的所有费用，包括但不限于主件、标准附件、备品备件、施工、服务、专用工具、安装、调试、检验、培训、运输、保险、税款等。</w:t>
      </w:r>
    </w:p>
    <w:p>
      <w:pPr>
        <w:ind w:firstLine="480"/>
      </w:pPr>
      <w:r>
        <w:t>2.3 如有对多个采购包投标的，要对每个采购包独立制作电子投标文件。</w:t>
      </w:r>
    </w:p>
    <w:p>
      <w:pPr>
        <w:ind w:firstLine="480"/>
      </w:pPr>
      <w:r>
        <w:t>2.4投标人不得将同一个项目或同一个采购包的内容拆开投标，否则其报价将被视为非实质性响应。</w:t>
      </w:r>
    </w:p>
    <w:p>
      <w:pPr>
        <w:ind w:firstLine="480"/>
      </w:pPr>
      <w:r>
        <w:t>2.5投标人须对招标文件的对应要求给予唯一的实质性响应，否则将视为不响应。</w:t>
      </w:r>
    </w:p>
    <w:p>
      <w:pPr>
        <w:ind w:firstLine="480"/>
      </w:pPr>
      <w:r>
        <w:t>2.6招标文件中，凡标有“★”的地方均为实质性响应条款，投标人若有一项带“★”的条款未响应或不满足，将按无效投标处理。</w:t>
      </w:r>
    </w:p>
    <w:p>
      <w:pPr>
        <w:ind w:firstLine="480"/>
      </w:pPr>
      <w:r>
        <w:t>2.7投标人必须按招标文件指定的格式填写各种报价，各报价应计算正确。除在招标文件另有规定外（如：报折扣、报优惠率等），计量单位应使用中华人民共和国法定计量单位，以人民币填报所有报价。</w:t>
      </w:r>
    </w:p>
    <w:p>
      <w:pPr>
        <w:ind w:firstLine="480"/>
      </w:pPr>
      <w:r>
        <w:t>2.8投标文件以及投标人与采购人、代理机构就有关投标的往来函电均应使用中文。投标人提交的支持性文件和印制的文件可以用另一种语言，但相应内容应翻译成中文，在解释投标文件时以中文文本为准。</w:t>
      </w:r>
    </w:p>
    <w:p>
      <w:pPr>
        <w:ind w:firstLine="480"/>
      </w:pPr>
      <w: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r>
        <w:rPr>
          <w:b/>
          <w:sz w:val="24"/>
        </w:rPr>
        <w:t>3.投标文件的提交</w:t>
      </w:r>
    </w:p>
    <w:p>
      <w:pPr>
        <w:ind w:firstLine="480"/>
      </w:pPr>
      <w: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ind w:firstLine="480"/>
      </w:pPr>
      <w:r>
        <w:t>3.2代理机构对因不可抗力事件造成的投标文件的损坏、丢失的，不承担责任。</w:t>
      </w:r>
    </w:p>
    <w:p>
      <w:pPr>
        <w:ind w:firstLine="480"/>
      </w:pPr>
      <w:r>
        <w:t>3.3出现下述情形之一，属于未成功提交投标文件，按无效投标处理：</w:t>
      </w:r>
    </w:p>
    <w:p>
      <w:pPr>
        <w:ind w:firstLine="480"/>
      </w:pPr>
      <w:r>
        <w:t>（1）至提交投标文件截止时，投标文件未完整上传的。</w:t>
      </w:r>
    </w:p>
    <w:p>
      <w:pPr>
        <w:ind w:firstLine="480"/>
      </w:pPr>
      <w:r>
        <w:t>（2）投标文件未按投标格式中注明需签字盖章的要求进行签名（含电子签名）和加盖电子印章，或签名（含电子签名）或电子印章不完整的。</w:t>
      </w:r>
    </w:p>
    <w:p>
      <w:pPr>
        <w:ind w:firstLine="480"/>
      </w:pPr>
      <w:r>
        <w:t>（3）投标文件损坏或格式不正确的。</w:t>
      </w:r>
    </w:p>
    <w:p>
      <w:r>
        <w:rPr>
          <w:b/>
          <w:sz w:val="24"/>
        </w:rPr>
        <w:t>4.投标文件的修改、撤回与撤销</w:t>
      </w:r>
    </w:p>
    <w:p>
      <w:pPr>
        <w:ind w:firstLine="480"/>
      </w:pPr>
      <w: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ind w:firstLine="480"/>
      </w:pPr>
      <w:r>
        <w:t>4.2在提交投标文件截止时间后，投标人不得补充、修改和更换投标文件。</w:t>
      </w:r>
    </w:p>
    <w:p>
      <w:r>
        <w:rPr>
          <w:b/>
          <w:sz w:val="24"/>
        </w:rPr>
        <w:t>5.投标文件的解密</w:t>
      </w:r>
    </w:p>
    <w:p>
      <w:pPr>
        <w:ind w:firstLine="480"/>
      </w:pPr>
      <w: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r>
        <w:rPr>
          <w:b/>
          <w:sz w:val="24"/>
        </w:rPr>
        <w:t>6.投标保证金</w:t>
      </w:r>
    </w:p>
    <w:p>
      <w:pPr>
        <w:ind w:firstLine="480"/>
      </w:pPr>
      <w:r>
        <w:t>6.1投标保证金的缴纳</w:t>
      </w:r>
    </w:p>
    <w:p>
      <w:pPr>
        <w:ind w:firstLine="480"/>
      </w:pPr>
      <w:r>
        <w:t>投标人在提交投标文件时，应按投标人须知前附表规定的金额和缴纳要求缴纳投标保证金，并作为其投标文件的组成部分。</w:t>
      </w:r>
    </w:p>
    <w:p>
      <w:pPr>
        <w:ind w:firstLine="480"/>
      </w:pPr>
      <w:r>
        <w:t>如采用转账、支票、本票、汇票形式提交的，投标保证金从投标人基本账户递交，由广东晓君项目管理有限公司代收。具体操作要求详见广东晓君项目管理有限公司有关指引，递交事宜请自行咨询广东晓君项目管理有限公司；请各投标人在投标文件递交截止时间前按须知前附表规定的金额递交至广东晓君项目管理有限公司，到账情况以开标时广东晓君项目管理有限公司查询的信息为准。</w:t>
      </w:r>
    </w:p>
    <w:p>
      <w:pPr>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pPr>
        <w:ind w:firstLine="480"/>
      </w:pPr>
      <w:r>
        <w:t>投标人可通过"广东政府采购智慧云平台金融服务中心"(https://gdgpo.czt.gd.gov.cn/zcdservice/zcd/guangdong/)，申请办理电子保函，电子保函与纸质保函具有同样效力。</w:t>
      </w:r>
    </w:p>
    <w:p>
      <w:pPr>
        <w:ind w:firstLine="480"/>
      </w:pPr>
      <w: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ind w:firstLine="480"/>
      </w:pPr>
      <w:r>
        <w:t>6.2投标保证金的退还：</w:t>
      </w:r>
    </w:p>
    <w:p>
      <w:pPr>
        <w:ind w:firstLine="480"/>
      </w:pPr>
      <w:r>
        <w:t>（1）投标人在投标截止时间前放弃投标的，自所投采购包结果公告发出后5个工作日内退还。</w:t>
      </w:r>
    </w:p>
    <w:p>
      <w:pPr>
        <w:ind w:firstLine="480"/>
      </w:pPr>
      <w:r>
        <w:t>（2）未中标的投标人投标保证金，自中标通知书发出之日起5个工作日内退还。</w:t>
      </w:r>
    </w:p>
    <w:p>
      <w:pPr>
        <w:ind w:firstLine="480"/>
      </w:pPr>
      <w:r>
        <w:t>（3）中标供应商的投标保证金，自政府采购合同签订之日起5个工作日内退还。</w:t>
      </w:r>
    </w:p>
    <w:p>
      <w:pPr>
        <w:ind w:firstLine="480"/>
      </w:pPr>
      <w:r>
        <w:t>备注：但因投标人自身原因导致无法及时退还的除外。</w:t>
      </w:r>
    </w:p>
    <w:p>
      <w:pPr>
        <w:ind w:firstLine="480"/>
      </w:pPr>
      <w:r>
        <w:t>6.3有下列情形之一的，投标保证金将不予退还：</w:t>
      </w:r>
    </w:p>
    <w:p>
      <w:pPr>
        <w:ind w:firstLine="480"/>
      </w:pPr>
      <w:r>
        <w:t>（1）提供虚假材料谋取中标、成交的；</w:t>
      </w:r>
    </w:p>
    <w:p>
      <w:pPr>
        <w:ind w:firstLine="480"/>
      </w:pPr>
      <w:r>
        <w:t>（2）投标人在招标文件规定的投标有效期内撤销其投标；</w:t>
      </w:r>
    </w:p>
    <w:p>
      <w:pPr>
        <w:ind w:firstLine="480"/>
      </w:pPr>
      <w:r>
        <w:t>（3）中标后，无正当理由放弃中标资格；</w:t>
      </w:r>
    </w:p>
    <w:p>
      <w:pPr>
        <w:ind w:firstLine="480"/>
      </w:pPr>
      <w:r>
        <w:t>（4）中标后，无正当理由不与采购人签订合同；</w:t>
      </w:r>
    </w:p>
    <w:p>
      <w:pPr>
        <w:ind w:firstLine="480"/>
      </w:pPr>
      <w:r>
        <w:t>（5）法律法规和招标文件规定的其他情形。</w:t>
      </w:r>
    </w:p>
    <w:p>
      <w:r>
        <w:rPr>
          <w:b/>
          <w:sz w:val="24"/>
        </w:rPr>
        <w:t>7.投标有效期</w:t>
      </w:r>
    </w:p>
    <w:p>
      <w:pPr>
        <w:ind w:firstLine="480"/>
      </w:pPr>
      <w:r>
        <w:t>7.1投标有效期内投标人撤销投标文件的，采购人或者采购代理机构可以不退还投标保证金（如有）。采用投标保函方式替代保证金的，采购人或者采购代理机构可以向担保机构索赔保证金。</w:t>
      </w:r>
    </w:p>
    <w:p>
      <w:pPr>
        <w:ind w:firstLine="480"/>
      </w:pPr>
      <w: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r>
        <w:rPr>
          <w:b/>
          <w:sz w:val="24"/>
        </w:rPr>
        <w:t>8.样品（演示）</w:t>
      </w:r>
    </w:p>
    <w:p>
      <w:pPr>
        <w:ind w:firstLine="480"/>
      </w:pPr>
      <w:r>
        <w:t>8.1招标文件规定投标人提交样品的，样品属于投标文件的组成部分。样品的生产、运输、安装、保全等一切费用由投标人自理。</w:t>
      </w:r>
    </w:p>
    <w:p>
      <w:pPr>
        <w:ind w:firstLine="480"/>
      </w:pPr>
      <w:r>
        <w:t>8.2投标截止时间前，投标人应将样品送达至指定地点。若需要现场演示的，投标人应提前做好演示准备（包括演示设备）。</w:t>
      </w:r>
    </w:p>
    <w:p>
      <w:pPr>
        <w:ind w:firstLine="480"/>
      </w:pPr>
      <w: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r>
        <w:rPr>
          <w:b/>
          <w:sz w:val="24"/>
        </w:rPr>
        <w:t>9.除招标文件另有规定外，有下列情形之一的，投标无效：</w:t>
      </w:r>
    </w:p>
    <w:p>
      <w:pPr>
        <w:ind w:firstLine="480"/>
      </w:pPr>
      <w:r>
        <w:t>9.1投标文件未按照招标文件要求签署、盖章；</w:t>
      </w:r>
    </w:p>
    <w:p>
      <w:pPr>
        <w:ind w:firstLine="480"/>
      </w:pPr>
      <w:r>
        <w:t>9.2不符合招标文件中规定的资格要求；</w:t>
      </w:r>
    </w:p>
    <w:p>
      <w:pPr>
        <w:ind w:firstLine="480"/>
      </w:pPr>
      <w:r>
        <w:t>9.3投标报价超过招标文件中规定的预算金额或最高限价；</w:t>
      </w:r>
    </w:p>
    <w:p>
      <w:pPr>
        <w:ind w:firstLine="480"/>
      </w:pPr>
      <w:r>
        <w:t>9.4投标文件含有采购人不能接受的附加条件；</w:t>
      </w:r>
    </w:p>
    <w:p>
      <w:pPr>
        <w:ind w:firstLine="480"/>
      </w:pPr>
      <w:r>
        <w:t>9.5有关法律、法规和规章及招标文件规定的其他无效情形。</w:t>
      </w:r>
    </w:p>
    <w:p>
      <w:r>
        <w:rPr>
          <w:b/>
          <w:sz w:val="28"/>
        </w:rPr>
        <w:t>六、开标、评标和定标</w:t>
      </w:r>
    </w:p>
    <w:p>
      <w:r>
        <w:rPr>
          <w:b/>
          <w:sz w:val="24"/>
        </w:rPr>
        <w:t>1.开标</w:t>
      </w:r>
    </w:p>
    <w:p>
      <w:pPr>
        <w:ind w:firstLine="480"/>
      </w:pPr>
      <w:r>
        <w:t>1.1 开标程序</w:t>
      </w:r>
    </w:p>
    <w:p>
      <w:pPr>
        <w:ind w:firstLine="480"/>
      </w:pPr>
      <w: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ind w:firstLine="480"/>
      </w:pPr>
      <w: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ind w:firstLine="480"/>
      </w:pPr>
      <w: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ind w:firstLine="480"/>
      </w:pPr>
      <w: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ind w:firstLine="480"/>
      </w:pPr>
      <w: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投标处理。</w:t>
      </w:r>
    </w:p>
    <w:p>
      <w:pPr>
        <w:ind w:firstLine="480"/>
      </w:pPr>
      <w:r>
        <w:t>1.2开标异议</w:t>
      </w:r>
    </w:p>
    <w:p>
      <w:pPr>
        <w:ind w:firstLine="480"/>
      </w:pPr>
      <w:r>
        <w:t>投标人代表对开标过程和开标记录有疑义，以及认为采购人、采购代理机构相关工作人员有需要回避的情形的，应当场提出询问或者回避申请。投标人未参加开标的，视同认可开标结果。</w:t>
      </w:r>
    </w:p>
    <w:p>
      <w:pPr>
        <w:ind w:firstLine="480"/>
      </w:pPr>
      <w:r>
        <w:t>1.3 投标截止时间后，投标人不足须知前附表中约定的有效供应商家数的，不得开标。同时，本次采购活动结束。</w:t>
      </w:r>
    </w:p>
    <w:p>
      <w:pPr>
        <w:ind w:firstLine="480"/>
      </w:pPr>
      <w:r>
        <w:t>1.4开标时出现下列情况的，视为投标无效处理：</w:t>
      </w:r>
    </w:p>
    <w:p>
      <w:pPr>
        <w:ind w:firstLine="480"/>
      </w:pPr>
      <w:r>
        <w:t>（1）经检查数字证书无效的；</w:t>
      </w:r>
    </w:p>
    <w:p>
      <w:pPr>
        <w:ind w:firstLine="480"/>
      </w:pPr>
      <w:r>
        <w:t>（2）因投标人自身原因，未在规定时间内完成电子投标文件解密的；</w:t>
      </w:r>
    </w:p>
    <w:p>
      <w:pPr>
        <w:ind w:firstLine="480"/>
      </w:pPr>
      <w:r>
        <w:t>（3）如需使用备用电子投标文件解密时，在规定的解密时间内无法提供备用电子投标文件或提供的备用电子投标文件与加密的电子投标文件版本不一致（即两份文件不是投标客户端编制同时生成的）。</w:t>
      </w:r>
    </w:p>
    <w:p>
      <w:r>
        <w:rPr>
          <w:b/>
          <w:sz w:val="24"/>
        </w:rPr>
        <w:t>2.评审（详见第四章）</w:t>
      </w:r>
    </w:p>
    <w:p>
      <w:r>
        <w:rPr>
          <w:b/>
          <w:sz w:val="24"/>
        </w:rPr>
        <w:t>3.定标</w:t>
      </w:r>
    </w:p>
    <w:p>
      <w:pPr>
        <w:ind w:firstLine="480"/>
      </w:pPr>
      <w:r>
        <w:t>3.1中标公告：</w:t>
      </w:r>
    </w:p>
    <w:p>
      <w:pPr>
        <w:ind w:firstLine="480"/>
      </w:pPr>
      <w:r>
        <w:t>中标供应商确定之日起2个工作日内，</w:t>
      </w:r>
      <w:r>
        <w:tab/>
      </w:r>
      <w:r>
        <w:tab/>
      </w:r>
      <w:r>
        <w:t xml:space="preserve"> 采购人或采购代理机构将在中国政府采购网(www.ccgp.gov.cn)、广东省政府采购网(https://gdgpo.czt.gd.gov.cn/)www.gdxjzbdl.com上以公告的形式发布中标结果，中标公告的公告期限为 1</w:t>
      </w:r>
      <w:r>
        <w:tab/>
      </w:r>
      <w:r>
        <w:tab/>
      </w:r>
      <w:r>
        <w:t xml:space="preserve"> 个工作日。中标公告同时作为采购代理机构通知除中标供应商外的其他投标人没有中标的书面形式，采购代理机构不再以其它方式另行通知。</w:t>
      </w:r>
    </w:p>
    <w:p>
      <w:pPr>
        <w:ind w:firstLine="480"/>
      </w:pPr>
      <w:r>
        <w:t>3.2中标通知书：</w:t>
      </w:r>
    </w:p>
    <w:p>
      <w:pPr>
        <w:ind w:firstLine="480"/>
      </w:pPr>
      <w: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ind w:firstLine="480"/>
      </w:pPr>
      <w:r>
        <w:t>3.3终止公告：</w:t>
      </w:r>
    </w:p>
    <w:p>
      <w:pPr>
        <w:ind w:firstLine="480"/>
      </w:pPr>
      <w:r>
        <w:t>项目废标后，采购人或采购代理机构将在中国政府采购网(www.ccgp.gov.cn)、广东省政府采购网(https://gdgpo.czt.gd.gov.cn/)、www.gdxjzbdl.com上发布终止公告，终止公告的公告期限为1个工作日。</w:t>
      </w:r>
    </w:p>
    <w:p>
      <w:r>
        <w:rPr>
          <w:b/>
          <w:sz w:val="28"/>
        </w:rPr>
        <w:t>七、询问、质疑与投诉</w:t>
      </w:r>
    </w:p>
    <w:p>
      <w:r>
        <w:rPr>
          <w:b/>
          <w:sz w:val="24"/>
        </w:rPr>
        <w:t>1.询问</w:t>
      </w:r>
    </w:p>
    <w:p>
      <w:pPr>
        <w:ind w:firstLine="480"/>
      </w:pPr>
      <w: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r>
        <w:rPr>
          <w:b/>
          <w:sz w:val="24"/>
        </w:rPr>
        <w:t>2.质疑</w:t>
      </w:r>
    </w:p>
    <w:p>
      <w:pPr>
        <w:ind w:firstLine="480"/>
      </w:pPr>
      <w: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pPr>
      <w:r>
        <w:t>(1)对招标文件提出质疑的，为获取招标文件之日或者招标文件公告期限届满之日；</w:t>
      </w:r>
    </w:p>
    <w:p>
      <w:pPr>
        <w:ind w:firstLine="480"/>
      </w:pPr>
      <w:r>
        <w:t>(2)对采购过程提出质疑的，为各采购程序环节结束之日；</w:t>
      </w:r>
    </w:p>
    <w:p>
      <w:pPr>
        <w:ind w:firstLine="480"/>
      </w:pPr>
      <w:r>
        <w:t>(3)对中标结果提出质疑的，为中标结果公告期限届满之日。</w:t>
      </w:r>
    </w:p>
    <w:p>
      <w:pPr>
        <w:ind w:firstLine="480"/>
      </w:pPr>
      <w:r>
        <w:t>2.2质疑函应当包括下列主要内容：</w:t>
      </w:r>
    </w:p>
    <w:p>
      <w:pPr>
        <w:ind w:firstLine="480"/>
      </w:pPr>
      <w:r>
        <w:t>(1)质疑供应商和相关供应商的名称、地址、邮编、联系人及联系电话等；</w:t>
      </w:r>
    </w:p>
    <w:p>
      <w:pPr>
        <w:ind w:firstLine="480"/>
      </w:pPr>
      <w:r>
        <w:t>(2)质疑项目名称及编号、具体明确的质疑事项和与质疑事项相关的请求；</w:t>
      </w:r>
    </w:p>
    <w:p>
      <w:pPr>
        <w:ind w:firstLine="480"/>
      </w:pPr>
      <w:r>
        <w:t>(3)认为采购文件、采购过程、中标和成交结果使自己的合法权益受到损害的法律依据、事实依据、相关证明材料及证据来源；</w:t>
      </w:r>
    </w:p>
    <w:p>
      <w:pPr>
        <w:ind w:firstLine="480"/>
      </w:pPr>
      <w:r>
        <w:t>(4)提出质疑的日期。</w:t>
      </w:r>
    </w:p>
    <w:p>
      <w:pPr>
        <w:ind w:firstLine="480"/>
      </w:pPr>
      <w:r>
        <w:t>2.3 质疑函应当署名。质疑供应商为自然人的，应当由本人签字；质疑供应商为法人或者其他组织的，应当由法定代表人、主要负责人，或者其授权代表签字或者盖章，并加盖公章。</w:t>
      </w:r>
    </w:p>
    <w:p>
      <w:pPr>
        <w:ind w:firstLine="480"/>
      </w:pPr>
      <w:r>
        <w:t>2.4以联合体形式参加政府采购活动的，其质疑应当由联合体成员委托主体提出。</w:t>
      </w:r>
    </w:p>
    <w:p>
      <w:pPr>
        <w:ind w:firstLine="480"/>
      </w:pPr>
      <w: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pPr>
      <w:r>
        <w:t>2.6质疑联系方式如下：</w:t>
      </w:r>
    </w:p>
    <w:p>
      <w:pPr>
        <w:ind w:firstLine="480"/>
      </w:pPr>
      <w:r>
        <w:t>质疑联系人：杨女士、朱老师</w:t>
      </w:r>
    </w:p>
    <w:p>
      <w:pPr>
        <w:ind w:firstLine="480"/>
      </w:pPr>
      <w:r>
        <w:t>电话：0766-8399669、0766-8723695</w:t>
      </w:r>
    </w:p>
    <w:p>
      <w:pPr>
        <w:ind w:firstLine="480"/>
      </w:pPr>
      <w:r>
        <w:t>传真：0766-8399669、0766-8723695</w:t>
      </w:r>
    </w:p>
    <w:p>
      <w:pPr>
        <w:ind w:firstLine="480"/>
      </w:pPr>
      <w:r>
        <w:t>邮箱：gdxj008@126.com</w:t>
      </w:r>
    </w:p>
    <w:p>
      <w:pPr>
        <w:ind w:firstLine="480"/>
      </w:pPr>
      <w:r>
        <w:t>地址：云浮市云城区城中路第三幢110号三楼</w:t>
      </w:r>
    </w:p>
    <w:p>
      <w:pPr>
        <w:ind w:firstLine="480"/>
      </w:pPr>
      <w:r>
        <w:t>邮编：527300</w:t>
      </w:r>
    </w:p>
    <w:p>
      <w:r>
        <w:rPr>
          <w:b/>
          <w:sz w:val="24"/>
        </w:rPr>
        <w:t>3.投诉</w:t>
      </w:r>
    </w:p>
    <w:p>
      <w:pPr>
        <w:ind w:firstLine="480"/>
      </w:pPr>
      <w:r>
        <w:t>质疑人对采购人或采购代理机构的质疑答复不满意或在规定时间内未得到答复的，可以在答复期满后15个工作日内，按如下联系方式向本项目监督管理部门提起投诉。</w:t>
      </w:r>
    </w:p>
    <w:p>
      <w:pPr>
        <w:ind w:firstLine="480"/>
      </w:pPr>
    </w:p>
    <w:p>
      <w:r>
        <w:t>政府采购监督管理机构名称：云浮市财政局政府采购监管科</w:t>
      </w:r>
    </w:p>
    <w:p>
      <w:r>
        <w:t>地  址：广东省云浮市云城区金山路82号</w:t>
      </w:r>
    </w:p>
    <w:p>
      <w:r>
        <w:t>电  话：0766-8331955</w:t>
      </w:r>
    </w:p>
    <w:p>
      <w:r>
        <w:t>邮  编：527500</w:t>
      </w:r>
    </w:p>
    <w:p>
      <w:r>
        <w:t>传  真：-</w:t>
      </w:r>
    </w:p>
    <w:p/>
    <w:p>
      <w:r>
        <w:rPr>
          <w:b/>
          <w:sz w:val="28"/>
        </w:rPr>
        <w:t>八、合同签订和履行</w:t>
      </w:r>
    </w:p>
    <w:p>
      <w:r>
        <w:rPr>
          <w:b/>
          <w:sz w:val="24"/>
        </w:rPr>
        <w:t>1.合同签订</w:t>
      </w:r>
    </w:p>
    <w:p>
      <w:pPr>
        <w:ind w:firstLine="480"/>
      </w:pPr>
      <w: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ind w:firstLine="480"/>
      </w:pPr>
      <w:r>
        <w:t>1.2采购人不得提出试用合格等任何不合理的要求作为签订合同的条件，且不得与中标供应商私下订立背离合同实质性内容的协议。</w:t>
      </w:r>
    </w:p>
    <w:p>
      <w:pPr>
        <w:ind w:firstLine="480"/>
      </w:pPr>
      <w:r>
        <w:t>1.3采购人应当自政府采购合同签订之日起2个工作日内，将政府采购合同在省级以上人民政府财政部门指定的媒体上公告，但政府采购合同中涉及国家秘密、商业秘密的内容除外。</w:t>
      </w:r>
    </w:p>
    <w:p>
      <w:pPr>
        <w:ind w:firstLine="480"/>
      </w:pPr>
      <w: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r>
        <w:rPr>
          <w:b/>
          <w:sz w:val="24"/>
        </w:rPr>
        <w:t>2.合同的履行</w:t>
      </w:r>
    </w:p>
    <w:p>
      <w:pPr>
        <w:ind w:firstLine="480"/>
      </w:pPr>
      <w: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pPr>
      <w: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ind w:firstLine="480"/>
      </w:pPr>
    </w:p>
    <w:p>
      <w:r>
        <w:t xml:space="preserve"> </w:t>
      </w:r>
    </w:p>
    <w:p/>
    <w:p>
      <w:pPr>
        <w:jc w:val="center"/>
      </w:pPr>
      <w:r>
        <w:rPr>
          <w:b/>
          <w:sz w:val="36"/>
        </w:rPr>
        <w:t>第四章 评标</w:t>
      </w:r>
    </w:p>
    <w:p>
      <w:r>
        <w:rPr>
          <w:b/>
          <w:sz w:val="28"/>
        </w:rPr>
        <w:t>一、评标要求</w:t>
      </w:r>
    </w:p>
    <w:p>
      <w:r>
        <w:rPr>
          <w:b/>
          <w:sz w:val="24"/>
        </w:rPr>
        <w:t>1.评标方法</w:t>
      </w:r>
    </w:p>
    <w:p>
      <w:pPr>
        <w:ind w:firstLine="480"/>
      </w:pPr>
    </w:p>
    <w:p/>
    <w:p>
      <w:r>
        <w:t>采购包1(云浮技师学院氢能汽车专业实训设备采购项目)：综合评分法,是指投标文件满足招标文件全部实质性要求，且按照评审因素的量化指标评审得分最高的投标人为中标候选人的评标方法。（最低报价不是中标的唯一依据。）</w:t>
      </w:r>
    </w:p>
    <w:p/>
    <w:p>
      <w:r>
        <w:rPr>
          <w:b/>
          <w:sz w:val="24"/>
        </w:rPr>
        <w:t>2.评标原则</w:t>
      </w:r>
    </w:p>
    <w:p>
      <w:pPr>
        <w:ind w:firstLine="480"/>
      </w:pPr>
      <w:r>
        <w:t>2.1评标活动遵循公平、公正、科学和择优的原则，以招标文件和投标文件为评标的基本依据，并按照招标文件规定的评标方法和评标标准进行评标。</w:t>
      </w:r>
    </w:p>
    <w:p>
      <w:pPr>
        <w:ind w:firstLine="480"/>
      </w:pPr>
      <w:r>
        <w:t>2.2具体评标事项由评标委员会负责，并按招标文件的规定办法进行评审。</w:t>
      </w:r>
    </w:p>
    <w:p>
      <w:pPr>
        <w:ind w:firstLine="480"/>
      </w:pPr>
      <w:r>
        <w:t>2.3合格投标人不足须知前附表中约定的有效供应商家数的，不得评标。</w:t>
      </w:r>
    </w:p>
    <w:p>
      <w:r>
        <w:rPr>
          <w:b/>
          <w:sz w:val="24"/>
        </w:rPr>
        <w:t>3.评标委员会</w:t>
      </w:r>
    </w:p>
    <w:p>
      <w:pPr>
        <w:ind w:firstLine="480"/>
      </w:pPr>
      <w:r>
        <w:t>3.1评标委员会由采购人代表和评审专家组成，成员人数应当为5人及以上单数，其中评审专家不得少于成员总数的三分之二。</w:t>
      </w:r>
    </w:p>
    <w:p>
      <w:pPr>
        <w:ind w:firstLine="480"/>
      </w:pPr>
      <w:r>
        <w:t>3.2评标应遵守下列评标纪律：</w:t>
      </w:r>
    </w:p>
    <w:p>
      <w:pPr>
        <w:ind w:firstLine="480"/>
      </w:pPr>
      <w:r>
        <w:t>（1）评标情况不得私自外泄，有关信息由广东晓君项目管理有限公司统一对外发布。</w:t>
      </w:r>
    </w:p>
    <w:p>
      <w:pPr>
        <w:ind w:firstLine="480"/>
      </w:pPr>
      <w:r>
        <w:t>（2）对广东晓君项目管理有限公司或投标人提供的要求保密的资料，不得摘记翻印和外传。</w:t>
      </w:r>
    </w:p>
    <w:p>
      <w:pPr>
        <w:ind w:firstLine="480"/>
      </w:pPr>
      <w:r>
        <w:t>（3）不得收受投标供应商或有关人员的任何礼物，不得串联鼓动其他人袒护某投标人。若与投标人存在利害关系，则应主动声明并回避。</w:t>
      </w:r>
    </w:p>
    <w:p>
      <w:pPr>
        <w:ind w:firstLine="480"/>
      </w:pPr>
      <w:r>
        <w:t>（4）全体评委应按照招标文件规定进行评标，一切认定事项应查有实据且不得弄虚作假。</w:t>
      </w:r>
    </w:p>
    <w:p>
      <w:pPr>
        <w:ind w:firstLine="480"/>
      </w:pPr>
      <w:r>
        <w:t>（5）评标委员会各成员应当独立对每个投标人的投标文件进行评价，并对评价意见承担个人责任。评审过程中，不得发表倾向性言论。</w:t>
      </w:r>
    </w:p>
    <w:p>
      <w:pPr>
        <w:ind w:firstLine="480"/>
      </w:pPr>
      <w:r>
        <w:t>※对违反评标纪律的评委，将取消其评委资格，对评标工作造成严重损失者将予以通报批评乃至追究法律责任。</w:t>
      </w:r>
    </w:p>
    <w:p>
      <w:r>
        <w:rPr>
          <w:b/>
          <w:sz w:val="24"/>
        </w:rPr>
        <w:t>4.有下列情形之一的，视为投标人串通投标，其投标无效；</w:t>
      </w:r>
    </w:p>
    <w:p>
      <w:pPr>
        <w:ind w:firstLine="480"/>
      </w:pPr>
      <w:r>
        <w:t>4.1不同投标人的投标文件由同一单位或者个人编制；</w:t>
      </w:r>
    </w:p>
    <w:p>
      <w:pPr>
        <w:ind w:firstLine="480"/>
      </w:pPr>
      <w:r>
        <w:t>4.2不同投标人委托同一单位或者个人办理投标事宜；</w:t>
      </w:r>
    </w:p>
    <w:p>
      <w:pPr>
        <w:ind w:firstLine="480"/>
      </w:pPr>
      <w:r>
        <w:t>4.3不同投标人的投标文件载明的项目管理成员或者联系人员为同一人；</w:t>
      </w:r>
    </w:p>
    <w:p>
      <w:pPr>
        <w:ind w:firstLine="480"/>
      </w:pPr>
      <w:r>
        <w:t>4.4不同投标人的投标文件异常一致或者投标报价呈规律性差异；</w:t>
      </w:r>
    </w:p>
    <w:p>
      <w:pPr>
        <w:ind w:firstLine="480"/>
      </w:pPr>
      <w:r>
        <w:t>4.5不同投标人的投标文件相互混装；</w:t>
      </w:r>
    </w:p>
    <w:p>
      <w:pPr>
        <w:ind w:firstLine="480"/>
      </w:pPr>
      <w:r>
        <w:t>4.6不同投标人的投标保证金或购买电子保函支付款为从同一单位或个人的账户转出；</w:t>
      </w:r>
    </w:p>
    <w:p>
      <w:pPr>
        <w:ind w:firstLine="480"/>
      </w:pPr>
      <w:r>
        <w:t>4.7不同投标人的电子投标文件制作计算机的网卡MAC地址硬件信息相同的；</w:t>
      </w:r>
    </w:p>
    <w:p>
      <w:pPr>
        <w:ind w:firstLine="480"/>
      </w:pPr>
      <w:r>
        <w:t>4.8投标人上传的电子投标文件使用该项目其他投标人的数字证书加密的或加盖该项目的其他投标人的电子印章的。</w:t>
      </w:r>
    </w:p>
    <w:p>
      <w:pPr>
        <w:ind w:firstLine="480"/>
      </w:pPr>
      <w:r>
        <w:t xml:space="preserve"> 说明：在评标过程中发现投标人有上述情形的，评标委员会应当认定其投标无效。同时，项目评审时被认定为串通投标的投标人不得参加该合同项下的采购活动。</w:t>
      </w:r>
    </w:p>
    <w:p>
      <w:r>
        <w:rPr>
          <w:b/>
          <w:sz w:val="24"/>
        </w:rPr>
        <w:t>5.投标无效的情形</w:t>
      </w:r>
    </w:p>
    <w:p>
      <w:pPr>
        <w:ind w:firstLine="480"/>
      </w:pPr>
      <w:r>
        <w:t>详见资格性审查、符合性审查和招标文件其他投标无效条款。</w:t>
      </w:r>
    </w:p>
    <w:p>
      <w:r>
        <w:rPr>
          <w:b/>
          <w:sz w:val="24"/>
        </w:rPr>
        <w:t>6.定标</w:t>
      </w:r>
    </w:p>
    <w:p>
      <w:pPr>
        <w:ind w:firstLine="480"/>
      </w:pPr>
      <w:r>
        <w:t>评标委员会按照招标文件确定的评标方法、步骤、标准，对投标文件进行评审。评标结束后，对投标人的评审名次进行排序，确定中标供应商或者推荐中标候选人。</w:t>
      </w:r>
    </w:p>
    <w:p>
      <w:r>
        <w:rPr>
          <w:b/>
          <w:sz w:val="24"/>
        </w:rPr>
        <w:t>7.价格修正</w:t>
      </w:r>
    </w:p>
    <w:p>
      <w:pPr>
        <w:ind w:firstLine="480"/>
      </w:pPr>
      <w:r>
        <w:t>对报价的计算错误按以下原则修正：</w:t>
      </w:r>
    </w:p>
    <w:p>
      <w:pPr>
        <w:ind w:firstLine="480"/>
      </w:pPr>
      <w:r>
        <w:t>（1）投标文件中开标一览表内容与投标文件中相应内容不一致的，以开标一览表为准；</w:t>
      </w:r>
    </w:p>
    <w:p>
      <w:pPr>
        <w:ind w:firstLine="480"/>
      </w:pPr>
      <w:r>
        <w:t>（2）大写金额和小写金额不一致的，以大写金额为准；</w:t>
      </w:r>
    </w:p>
    <w:p>
      <w:pPr>
        <w:ind w:firstLine="480"/>
      </w:pPr>
      <w:r>
        <w:t>（3）单价金额小数点或者百分比有明显错位的，以开标一览表的总价为准，并修改单价。</w:t>
      </w:r>
    </w:p>
    <w:p>
      <w:pPr>
        <w:ind w:firstLine="480"/>
      </w:pPr>
      <w:r>
        <w:t>（4）总价金额与按单价汇总金额不一致的，以单价金额计算结果为准。但是单价金额计算结果超过预算价的，对其按无效投标处理。</w:t>
      </w:r>
    </w:p>
    <w:p>
      <w:pPr>
        <w:ind w:firstLine="480"/>
      </w:pPr>
      <w:r>
        <w:t>（5）若投标客户端上传的电子报价数据与电子投标文件价格不一致的，以电子报价数据为准。</w:t>
      </w:r>
    </w:p>
    <w:p>
      <w:pPr>
        <w:ind w:firstLine="480"/>
      </w:pPr>
      <w: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r>
        <w:rPr>
          <w:b/>
          <w:sz w:val="28"/>
        </w:rPr>
        <w:t>二.政府采购政策落实</w:t>
      </w:r>
    </w:p>
    <w:p>
      <w:r>
        <w:rPr>
          <w:b/>
          <w:sz w:val="24"/>
        </w:rPr>
        <w:t>1.节能、环保要求</w:t>
      </w:r>
    </w:p>
    <w:p>
      <w:pPr>
        <w:ind w:firstLine="480"/>
      </w:pPr>
      <w: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ind w:firstLine="480"/>
      </w:pPr>
      <w:r>
        <w:t>相关认证机构和获证产品信息以市场监管总局组织建立的节能产品、环境标志产品认证结果信息发布平台公布为准。</w:t>
      </w:r>
    </w:p>
    <w:p>
      <w:r>
        <w:rPr>
          <w:b/>
          <w:sz w:val="24"/>
        </w:rPr>
        <w:t>2.对小型、微型企业、监狱企业或残疾人福利性单位给予价格扣除</w:t>
      </w:r>
    </w:p>
    <w:p>
      <w:pPr>
        <w:ind w:firstLine="480"/>
      </w:pPr>
      <w:r>
        <w:t>依照《政府采购促进中小企业发展管理办法》、《支持监狱企业发展有关问题的通知》和《财政部 民政部</w:t>
      </w:r>
      <w:r>
        <w:tab/>
      </w:r>
      <w:r>
        <w:tab/>
      </w:r>
      <w:r>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r>
        <w:rPr>
          <w:b/>
          <w:sz w:val="24"/>
        </w:rPr>
        <w:t>3.价格扣除相关要求</w:t>
      </w:r>
    </w:p>
    <w:p>
      <w:pPr>
        <w:ind w:firstLine="480"/>
      </w:pPr>
    </w:p>
    <w:p/>
    <w:p>
      <w:r>
        <w:t>采购包1（云浮技师学院氢能汽车专业实训设备采购项目）：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r>
              <w:t>序号</w:t>
            </w:r>
          </w:p>
        </w:tc>
        <w:tc>
          <w:tcPr>
            <w:tcW w:w="2160" w:type="dxa"/>
          </w:tcPr>
          <w:p>
            <w:r>
              <w:t>情形</w:t>
            </w:r>
          </w:p>
        </w:tc>
        <w:tc>
          <w:tcPr>
            <w:tcW w:w="2160" w:type="dxa"/>
          </w:tcPr>
          <w:p>
            <w:r>
              <w:t>适用对象</w:t>
            </w:r>
          </w:p>
        </w:tc>
        <w:tc>
          <w:tcPr>
            <w:tcW w:w="1246" w:type="dxa"/>
          </w:tcPr>
          <w:p>
            <w:r>
              <w:t>价格扣除比例</w:t>
            </w:r>
          </w:p>
        </w:tc>
        <w:tc>
          <w:tcPr>
            <w:tcW w:w="2160" w:type="dxa"/>
          </w:tcPr>
          <w:p>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jc w:val="left"/>
            </w:pPr>
            <w:r>
              <w:t>注：（1）上述评标价仅用于计算价格分，成交金额以实际投标价为准。</w:t>
            </w:r>
            <w:r>
              <w:tab/>
            </w:r>
            <w:r>
              <w:tab/>
            </w:r>
            <w:r>
              <w:tab/>
            </w:r>
            <w:r>
              <w:tab/>
            </w:r>
            <w:r>
              <w:tab/>
            </w:r>
            <w:r>
              <w:t xml:space="preserve"> （2）组成联合体的大中型企业和其他自然人、法人或者其他组织、与小型、微型企业之间不得存在投资关系。</w:t>
            </w:r>
          </w:p>
        </w:tc>
      </w:tr>
    </w:tbl>
    <w:p>
      <w:r>
        <w:br w:type="textWrapping"/>
      </w:r>
      <w:r>
        <w:br w:type="textWrapping"/>
      </w:r>
    </w:p>
    <w:p/>
    <w:p>
      <w:pPr>
        <w:ind w:firstLine="480"/>
      </w:pPr>
      <w:r>
        <w:t>（1）所称小型和微型企业应当符合以下条件：</w:t>
      </w:r>
    </w:p>
    <w:p>
      <w:pPr>
        <w:ind w:firstLine="480"/>
      </w:pPr>
      <w:r>
        <w:t>在中华人民共和国境内依法设立，依据国务院批准的中小企业划分标准确定的小型企业和微型企业，但与大企业的负责人为同一人，或者与大企业存在直接控股、管理关系的除外。</w:t>
      </w:r>
    </w:p>
    <w:p>
      <w:pPr>
        <w:ind w:firstLine="480"/>
      </w:pPr>
      <w:r>
        <w:t>符合中小企业划分标准的个体工商户，在政府采购活动中视同中小企业。</w:t>
      </w:r>
    </w:p>
    <w:p>
      <w:pPr>
        <w:ind w:firstLine="480"/>
      </w:pPr>
      <w:r>
        <w:t>提供本企业（属于小微企业）制造的货物或者提供其他小型或微型企业制造的货物/提供本企业（属于小微企业）承接的服务。</w:t>
      </w:r>
    </w:p>
    <w:p>
      <w:pPr>
        <w:ind w:firstLine="480"/>
      </w:pPr>
      <w: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ind w:firstLine="480"/>
      </w:pPr>
      <w:r>
        <w:t>说明：投标人应当对其出具的《中小企业声明函》真实性负责，投标人出具的《中小企业声明函》内容不实的，属于提供虚假材料谋取中标。</w:t>
      </w:r>
    </w:p>
    <w:p>
      <w:pPr>
        <w:ind w:firstLine="480"/>
      </w:pPr>
      <w: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r>
        <w:rPr>
          <w:b/>
          <w:sz w:val="28"/>
        </w:rPr>
        <w:t>三、评审程序</w:t>
      </w:r>
    </w:p>
    <w:p>
      <w:r>
        <w:rPr>
          <w:b/>
          <w:sz w:val="24"/>
        </w:rPr>
        <w:t>1.资格性审查和符合性审查</w:t>
      </w:r>
    </w:p>
    <w:p>
      <w:pPr>
        <w:ind w:firstLine="480"/>
      </w:pPr>
      <w:r>
        <w:t>资格性审查。公开招标采购项目开标结束后，采购人或采购代理机构应当依法对投标人的资格进行审查，以确定投标人是否具备投标资格。（详见后附表一资格性审查表）</w:t>
      </w:r>
    </w:p>
    <w:p>
      <w:pPr>
        <w:ind w:firstLine="480"/>
      </w:pPr>
      <w:r>
        <w:t>符合性审查。评标委员会依据招标文件的规定，从投标文件的有效性、完整性和对招标文件的响应程度进行审查，以确定是否对招标文件的实质性要求作出响应。（详见后附表二符合性审查表）</w:t>
      </w:r>
    </w:p>
    <w:p>
      <w:pPr>
        <w:ind w:firstLine="480"/>
      </w:pPr>
      <w:r>
        <w:t>资格性审查和符合性审查中凡有其中任意一项未通过的，评审结果为未通过，未通过资格性审查、符合性审查的投标人按无效投标处理。</w:t>
      </w:r>
    </w:p>
    <w:p>
      <w:pPr>
        <w:ind w:firstLine="480"/>
      </w:pPr>
      <w:r>
        <w:t>对各投标人进行资格审查和符合性审查过程中，对初步被认定为无效投标者，由评标委员会组长或采购人代表将集体意见及时告知投标当事人。</w:t>
      </w:r>
    </w:p>
    <w:p>
      <w:pPr>
        <w:ind w:firstLine="480"/>
      </w:pPr>
      <w:r>
        <w:t>系统抓取并记录到供应商与同项目（采购包）其他投标（响应）供应商电子投标文件制作计算机的网卡MAC地址硬件信息相同的，评标委员会应认定其投标（响应）无效。</w:t>
      </w:r>
    </w:p>
    <w:p>
      <w:pPr>
        <w:ind w:firstLine="480"/>
      </w:pPr>
      <w: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pPr>
      <w:r>
        <w:t>合格投标人不足3家的，不得评标。</w:t>
      </w:r>
    </w:p>
    <w:p>
      <w:pPr>
        <w:ind w:firstLine="480"/>
      </w:pPr>
      <w:r>
        <w:t>表一资格性审查表：</w:t>
      </w:r>
    </w:p>
    <w:p>
      <w:pPr>
        <w:ind w:firstLine="480"/>
      </w:pPr>
    </w:p>
    <w:p/>
    <w:p>
      <w:r>
        <w:t>采购包1（云浮技师学院氢能汽车专业实训设备采购项目）：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序号</w:t>
            </w:r>
          </w:p>
        </w:tc>
        <w:tc>
          <w:tcPr>
            <w:tcW w:w="7416" w:type="dxa"/>
            <w:gridSpan w:val="2"/>
          </w:tcPr>
          <w:p>
            <w: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1</w:t>
            </w:r>
          </w:p>
        </w:tc>
        <w:tc>
          <w:tcPr>
            <w:tcW w:w="3178" w:type="dxa"/>
          </w:tcPr>
          <w:p>
            <w:r>
              <w:t>具有独立承担民事责任的能力</w:t>
            </w:r>
          </w:p>
        </w:tc>
        <w:tc>
          <w:tcPr>
            <w:tcW w:w="4238" w:type="dxa"/>
          </w:tcPr>
          <w:p>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2</w:t>
            </w:r>
          </w:p>
        </w:tc>
        <w:tc>
          <w:tcPr>
            <w:tcW w:w="3178" w:type="dxa"/>
          </w:tcPr>
          <w:p>
            <w:r>
              <w:t>有依法缴纳税收和社会保障资金的良好记录</w:t>
            </w:r>
          </w:p>
        </w:tc>
        <w:tc>
          <w:tcPr>
            <w:tcW w:w="4238" w:type="dxa"/>
          </w:tcPr>
          <w:p>
            <w:r>
              <w:t>提供投标截止日前6个月内任意1个月依法缴纳税收和社会保障资金的相关材料。 如依法免税或不需要缴纳社会保障资金的， 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3</w:t>
            </w:r>
          </w:p>
        </w:tc>
        <w:tc>
          <w:tcPr>
            <w:tcW w:w="3178" w:type="dxa"/>
          </w:tcPr>
          <w:p>
            <w:r>
              <w:t>具有良好的商业信誉和健全的财务会计制度</w:t>
            </w:r>
          </w:p>
        </w:tc>
        <w:tc>
          <w:tcPr>
            <w:tcW w:w="4238" w:type="dxa"/>
          </w:tcPr>
          <w:p>
            <w:r>
              <w:t>供应商必须具有良好的商业信誉和健全的财务会计制度（提供2021年度财务状况报告或基本开户行出具的资信证明）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4</w:t>
            </w:r>
          </w:p>
        </w:tc>
        <w:tc>
          <w:tcPr>
            <w:tcW w:w="3178" w:type="dxa"/>
          </w:tcPr>
          <w:p>
            <w:r>
              <w:t>履行合同所必需的设备和专业技术能力</w:t>
            </w:r>
          </w:p>
        </w:tc>
        <w:tc>
          <w:tcPr>
            <w:tcW w:w="4238" w:type="dxa"/>
          </w:tcPr>
          <w:p>
            <w:r>
              <w:t>按投标（响应）文件格式填报设备及专业技术能力情况。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5</w:t>
            </w:r>
          </w:p>
        </w:tc>
        <w:tc>
          <w:tcPr>
            <w:tcW w:w="3178" w:type="dxa"/>
          </w:tcPr>
          <w:p>
            <w:r>
              <w:t>参加采购活动前3年内，在经营活动中没有重大违法记录</w:t>
            </w:r>
          </w:p>
        </w:tc>
        <w:tc>
          <w:tcPr>
            <w:tcW w:w="4238" w:type="dxa"/>
          </w:tcPr>
          <w:p>
            <w: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6</w:t>
            </w:r>
          </w:p>
        </w:tc>
        <w:tc>
          <w:tcPr>
            <w:tcW w:w="3178" w:type="dxa"/>
          </w:tcPr>
          <w:p>
            <w:r>
              <w:t>信用记录</w:t>
            </w:r>
          </w:p>
        </w:tc>
        <w:tc>
          <w:tcPr>
            <w:tcW w:w="4238" w:type="dxa"/>
          </w:tcPr>
          <w:p>
            <w: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7</w:t>
            </w:r>
          </w:p>
        </w:tc>
        <w:tc>
          <w:tcPr>
            <w:tcW w:w="3178" w:type="dxa"/>
          </w:tcPr>
          <w:p>
            <w:r>
              <w:t>供应商必须符合法律、行政法规规定的其他条件</w:t>
            </w:r>
          </w:p>
        </w:tc>
        <w:tc>
          <w:tcPr>
            <w:tcW w:w="4238" w:type="dxa"/>
          </w:tcPr>
          <w:p>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8</w:t>
            </w:r>
          </w:p>
        </w:tc>
        <w:tc>
          <w:tcPr>
            <w:tcW w:w="3178" w:type="dxa"/>
          </w:tcPr>
          <w:p>
            <w:r>
              <w:t>促进中小企业发展</w:t>
            </w:r>
          </w:p>
        </w:tc>
        <w:tc>
          <w:tcPr>
            <w:tcW w:w="4238" w:type="dxa"/>
          </w:tcPr>
          <w:p>
            <w:r>
              <w:t>采购包整体专门面向中小企业。按招标文件要求提供《中小型企业声明函》</w:t>
            </w:r>
          </w:p>
        </w:tc>
      </w:tr>
    </w:tbl>
    <w:p/>
    <w:p>
      <w:pPr>
        <w:ind w:firstLine="480"/>
      </w:pPr>
      <w:r>
        <w:t>表二符合性审查表：</w:t>
      </w:r>
    </w:p>
    <w:p>
      <w:pPr>
        <w:ind w:firstLine="480"/>
      </w:pPr>
    </w:p>
    <w:p/>
    <w:p>
      <w:r>
        <w:t>采购包1（云浮技师学院氢能汽车专业实训设备采购项目）：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序号</w:t>
            </w:r>
          </w:p>
        </w:tc>
        <w:tc>
          <w:tcPr>
            <w:tcW w:w="3178" w:type="dxa"/>
          </w:tcPr>
          <w:p>
            <w:r>
              <w:t>评审点要求概况</w:t>
            </w:r>
          </w:p>
        </w:tc>
        <w:tc>
          <w:tcPr>
            <w:tcW w:w="4238" w:type="dxa"/>
          </w:tcPr>
          <w:p>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1</w:t>
            </w:r>
          </w:p>
        </w:tc>
        <w:tc>
          <w:tcPr>
            <w:tcW w:w="3178" w:type="dxa"/>
          </w:tcPr>
          <w:p>
            <w:r>
              <w:t>投标文件的签署、盖章及其完整性</w:t>
            </w:r>
          </w:p>
        </w:tc>
        <w:tc>
          <w:tcPr>
            <w:tcW w:w="4238" w:type="dxa"/>
          </w:tcPr>
          <w:p>
            <w:r>
              <w:t>投标文件完整、符合招标文件规定的签署、 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2</w:t>
            </w:r>
          </w:p>
        </w:tc>
        <w:tc>
          <w:tcPr>
            <w:tcW w:w="3178" w:type="dxa"/>
          </w:tcPr>
          <w:p>
            <w:r>
              <w:t>投标有限期</w:t>
            </w:r>
          </w:p>
        </w:tc>
        <w:tc>
          <w:tcPr>
            <w:tcW w:w="4238" w:type="dxa"/>
          </w:tcPr>
          <w:p>
            <w:r>
              <w:t>投标函已提交并符合招标文件要求的，且投标有效期不少于招标文件中载明的投标有效期。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3</w:t>
            </w:r>
          </w:p>
        </w:tc>
        <w:tc>
          <w:tcPr>
            <w:tcW w:w="3178" w:type="dxa"/>
          </w:tcPr>
          <w:p>
            <w:r>
              <w:t>投标报价要求1</w:t>
            </w:r>
          </w:p>
        </w:tc>
        <w:tc>
          <w:tcPr>
            <w:tcW w:w="4238" w:type="dxa"/>
          </w:tcPr>
          <w:p>
            <w:r>
              <w:t>投标报价未超过本项目最高限价（最高限价：¥1,500,000.00元）且投标价格是固定唯一的；投标文件未出现选择性报价或有附加条件报价的情形。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4</w:t>
            </w:r>
          </w:p>
        </w:tc>
        <w:tc>
          <w:tcPr>
            <w:tcW w:w="3178" w:type="dxa"/>
          </w:tcPr>
          <w:p>
            <w:r>
              <w:t>投标报价要求2</w:t>
            </w:r>
          </w:p>
        </w:tc>
        <w:tc>
          <w:tcPr>
            <w:tcW w:w="4238" w:type="dxa"/>
          </w:tcPr>
          <w:p>
            <w:r>
              <w:t>不存在低于成本价的报价或报价明显不合理而投标人不能合理说明的情况。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5</w:t>
            </w:r>
          </w:p>
        </w:tc>
        <w:tc>
          <w:tcPr>
            <w:tcW w:w="3178" w:type="dxa"/>
          </w:tcPr>
          <w:p>
            <w:r>
              <w:t>★号条款</w:t>
            </w:r>
          </w:p>
        </w:tc>
        <w:tc>
          <w:tcPr>
            <w:tcW w:w="4238" w:type="dxa"/>
          </w:tcPr>
          <w:p>
            <w:r>
              <w:t>投标文件完全满足招标文件的实质性条款（即标注★号条款） 无负偏离的。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6</w:t>
            </w:r>
          </w:p>
        </w:tc>
        <w:tc>
          <w:tcPr>
            <w:tcW w:w="3178" w:type="dxa"/>
          </w:tcPr>
          <w:p>
            <w:r>
              <w:t>招标文件规定情况</w:t>
            </w:r>
          </w:p>
        </w:tc>
        <w:tc>
          <w:tcPr>
            <w:tcW w:w="4238" w:type="dxa"/>
          </w:tcPr>
          <w:p>
            <w:r>
              <w:t>投标文件没有招标文件中规定的其他无效投标条款的。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7</w:t>
            </w:r>
          </w:p>
        </w:tc>
        <w:tc>
          <w:tcPr>
            <w:tcW w:w="3178" w:type="dxa"/>
          </w:tcPr>
          <w:p>
            <w:r>
              <w:t>法律、法规、规章规定情况</w:t>
            </w:r>
          </w:p>
        </w:tc>
        <w:tc>
          <w:tcPr>
            <w:tcW w:w="4238" w:type="dxa"/>
          </w:tcPr>
          <w:p>
            <w:r>
              <w:t>按有关法律、法规、规章不属于投标无效的。</w:t>
            </w:r>
          </w:p>
        </w:tc>
      </w:tr>
    </w:tbl>
    <w:p/>
    <w:p>
      <w:r>
        <w:rPr>
          <w:b/>
          <w:sz w:val="24"/>
        </w:rPr>
        <w:t>2.投标文件澄清</w:t>
      </w:r>
    </w:p>
    <w:p>
      <w:pPr>
        <w:ind w:firstLine="480"/>
      </w:pPr>
      <w:r>
        <w:t>2.1对于投标文件中含义不明确、同类问题表述不一致或者有明显文字和计算错误的内容，评标委员会可在评审过程中发起在线澄清，要求投标人针对价格或内容做出必要的澄清、说明或补正。代理机构可根据开标环节记录的授权代表人联系方式发送短信提醒或电话告知。</w:t>
      </w:r>
    </w:p>
    <w:p>
      <w:pPr>
        <w:ind w:firstLine="480"/>
      </w:pPr>
      <w:r>
        <w:t>投标人需登录广东政府采购智慧云平台项目采购系统的等候大厅，在规定时间内完成澄清（响应），并加盖电子印章。</w:t>
      </w:r>
    </w:p>
    <w:p>
      <w:pPr>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pPr>
        <w:ind w:firstLine="480"/>
      </w:pPr>
      <w:r>
        <w:t>2.2评标委员会不接受投标人主动提出的澄清、说明或补正。</w:t>
      </w:r>
    </w:p>
    <w:p>
      <w:pPr>
        <w:ind w:firstLine="480"/>
      </w:pPr>
      <w:r>
        <w:t>2.3评标委员会对投标人提交的澄清、说明或补正有疑问的，可以要求投标人进一步澄清、说明或补正。</w:t>
      </w:r>
    </w:p>
    <w:p>
      <w:r>
        <w:rPr>
          <w:b/>
          <w:sz w:val="24"/>
        </w:rPr>
        <w:t>3.详细评审</w:t>
      </w:r>
    </w:p>
    <w:p>
      <w:pPr>
        <w:ind w:firstLine="480"/>
      </w:pPr>
    </w:p>
    <w:p/>
    <w:p/>
    <w:p>
      <w:r>
        <w:t>云浮技师学院氢能汽车专业实训设备采购项目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评审因素</w:t>
            </w:r>
          </w:p>
        </w:tc>
        <w:tc>
          <w:tcPr>
            <w:tcW w:w="7383" w:type="dxa"/>
            <w:gridSpan w:val="2"/>
          </w:tcPr>
          <w:p>
            <w:pPr>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分值构成</w:t>
            </w:r>
          </w:p>
        </w:tc>
        <w:tc>
          <w:tcPr>
            <w:tcW w:w="7383" w:type="dxa"/>
            <w:gridSpan w:val="2"/>
          </w:tcPr>
          <w:p>
            <w:r>
              <w:t>商务部分20.0分</w:t>
            </w:r>
          </w:p>
          <w:p>
            <w:r>
              <w:t>技术部分50.0分</w:t>
            </w:r>
          </w:p>
          <w:p>
            <w:r>
              <w:t>报价得分30.0分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jc w:val="center"/>
            </w:pPr>
            <w:r>
              <w:t>技术部分</w:t>
            </w:r>
          </w:p>
        </w:tc>
        <w:tc>
          <w:tcPr>
            <w:tcW w:w="2307" w:type="dxa"/>
          </w:tcPr>
          <w:p>
            <w:pPr>
              <w:jc w:val="left"/>
            </w:pPr>
            <w:r>
              <w:t>重要技术参数响应情况 (24.0分)</w:t>
            </w:r>
          </w:p>
        </w:tc>
        <w:tc>
          <w:tcPr>
            <w:tcW w:w="5076" w:type="dxa"/>
          </w:tcPr>
          <w:p>
            <w:pPr>
              <w:jc w:val="left"/>
            </w:pPr>
            <w:r>
              <w:t>对用户需求书中标“▲”的条款，投标人所投产品技术参数每有一项完全响应或正偏离响应，得2分。响应为“负偏离”的，该项不得分。本项满分24分。 备注：如采购需求中有明确要求提供证明材料的，则以采购需求要求的为准，未按要求提供证明资料的不得分；如采购需求书中无明确要求提供证明材料的，以投标人投标文件中的《采购需求条款响应一览表》中的响应描述填写内容为准，未填写或负偏离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一般技术参数响应情况 (11.0分)</w:t>
            </w:r>
          </w:p>
        </w:tc>
        <w:tc>
          <w:tcPr>
            <w:tcW w:w="5076" w:type="dxa"/>
          </w:tcPr>
          <w:p>
            <w:pPr>
              <w:jc w:val="left"/>
            </w:pPr>
            <w:r>
              <w:t>根据各投标人所投产品对《第二章 采购需求》中“技术标准与要求”——“技术要求”中未标注“★”或“▲”的一般技术参数的响应情况进行评审（每一个采购标的作为一项，共11项）： 未标注“★”或“▲”的一般技术参数，该项为“正偏离”或“符合”或“无偏离”的，该项得1分；； 响应为“负偏离”的，该项不得分。 备注：如采购需求中有明确要求提供证明材料的，则以采购需求要求的为准，未按要求提供证明资料的不得分；如采购需求书中无明确要求提供证明材料的，以投标人投标文件中的《技术和服务要求响应表》中的响应描述填写内容为准，未填写或负偏离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培训方案 (5.0分)，（等次分值选择：0.0;1.0;3.0;5.0;）</w:t>
            </w:r>
          </w:p>
        </w:tc>
        <w:tc>
          <w:tcPr>
            <w:tcW w:w="5076" w:type="dxa"/>
          </w:tcPr>
          <w:p>
            <w:pPr>
              <w:jc w:val="left"/>
            </w:pPr>
            <w:r>
              <w:t>根据投标人针对设备的基本结构、性能、主要部件的构造及原理，日常使用操作、保养与管理，常见故障的排除，紧急情况的处理的培训方案进行评审（包括但不限于培训内容、培训计划、培训目标）： 1.培训方案具体详细、科学合理，可行性高的，得5分； 2.培训方案较为详细合理、可行性较高的，得3分； 3.培训方案不详细、不够合理、可行性差，得1分； 4.无提供相应方案的得0分。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项目实施方案 (5.0分)，（等次分值选择：0.0;1.0;3.0;5.0;）</w:t>
            </w:r>
          </w:p>
        </w:tc>
        <w:tc>
          <w:tcPr>
            <w:tcW w:w="5076" w:type="dxa"/>
          </w:tcPr>
          <w:p>
            <w:pPr>
              <w:jc w:val="left"/>
            </w:pPr>
            <w:r>
              <w:t>投标人对本项目的实施方案，包括但不限于以下内容：实施计划、人员投入、质量管理、厂家服务支持等。 1.实施方案详尽、实施可行性高，得5分； 2.可行性一般，基本满足要求，得3分； 3.可行性较难实施，但基本满足要求，得1分。 4.没有提供实施方案的得0分。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验收方案 (5.0分)，（等次分值选择：0.0;1.0;3.0;5.0;）</w:t>
            </w:r>
          </w:p>
        </w:tc>
        <w:tc>
          <w:tcPr>
            <w:tcW w:w="5076" w:type="dxa"/>
          </w:tcPr>
          <w:p>
            <w:pPr>
              <w:jc w:val="left"/>
            </w:pPr>
            <w:r>
              <w:t>验收方案包括但不限于以下内容： 1.验收依据和相关的技术标准； 2.验收的组织形式、程序、注意事项； 3.验收环节和内容。 （1）验收方案内容详细描述、完整无缺且具有很好的科学性和可操作性，得5分； （2）验收方案内容描述较详细、较完整且具有较好的科学性和可操作性，得3分； （3）验收方案内容描述不够完整、科学性和操作性较低，得1分； （4）未提供的得0分。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jc w:val="center"/>
            </w:pPr>
            <w:r>
              <w:t>商务部分</w:t>
            </w:r>
          </w:p>
        </w:tc>
        <w:tc>
          <w:tcPr>
            <w:tcW w:w="2307" w:type="dxa"/>
          </w:tcPr>
          <w:p>
            <w:pPr>
              <w:jc w:val="left"/>
            </w:pPr>
            <w:r>
              <w:t>企业综合实力 (5.0分)</w:t>
            </w:r>
          </w:p>
        </w:tc>
        <w:tc>
          <w:tcPr>
            <w:tcW w:w="5076" w:type="dxa"/>
          </w:tcPr>
          <w:p>
            <w:pPr>
              <w:jc w:val="left"/>
            </w:pPr>
            <w:r>
              <w:t>1.获得在有效期内的ISO 9001质量管理体系认证证书； 2.获得在有效期内的ISO 45001职业健康安全管理体系认证证书； 3.获得在有效期内的ISO 14001环境管理体系认证证书； 4.提供国家安全生产重大事故防治关键技术教育装备生产基地佐证材料； 5.与国内主流汽车生产企业完成培训教学设备的开发项目佐证材料； 以上证书、佐证材料每提供一项得1分，满分5分。 （注：提供相关证书复印件并加盖投标人公章，不提供不得分）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同类业绩 (5.0分)</w:t>
            </w:r>
          </w:p>
        </w:tc>
        <w:tc>
          <w:tcPr>
            <w:tcW w:w="5076" w:type="dxa"/>
          </w:tcPr>
          <w:p>
            <w:pPr>
              <w:jc w:val="left"/>
            </w:pPr>
            <w:r>
              <w:t>投标人自 2019 年1月1日以来具有新能源汽车实训教学设备同类业绩，每项得1分，最高得5分；  注：投标人须提供业绩证明材料包括：中标通知书、合同复印件、验收合格报告。是否属于“新能源汽车实训教学设备”的项目以合同货物清单为准；未按要求提供以上完整材料的，则该项业绩不得分。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服务团队 (5.0分)</w:t>
            </w:r>
          </w:p>
        </w:tc>
        <w:tc>
          <w:tcPr>
            <w:tcW w:w="5076" w:type="dxa"/>
          </w:tcPr>
          <w:p>
            <w:pPr>
              <w:jc w:val="left"/>
            </w:pPr>
            <w:r>
              <w:t>根据投标人所提供的技术实力及投入本项目技术人员配置方案，包括项目经理及专业技术人员进行评审，以提供技术人员的资格证书等证明文件作为评审依据：  1.投入本项目项目经理具有汽车类高级技师技能等级证书（技能等级证书须由人力资源和社会保障部门颁发）且获得中级以上职称（职称证书须为人力资源和社会保障部门颁发）5年以上职业院校汽车专业教师工作经验（提供工作院校工作证明及工作期间社保缴费证明），得3分，不提供或不符合的不得分。 2.投入本项目管理人员取得汽车维修工技师（或以上）技能等级证书（技能等级证书须由人力资源和社会保障部门颁发），机动车检测维修类工程师以上职称（职称证书须为人力资源和社会保障部门颁发），每一人得1分，最高2分，不提供或不符合要求不得分。 注：提供投入本项目技术人员应是本公司全职员工，并提供配置人员清单，附相关资格证件复印件和社会保险缴纳证明（以社保机构出具的在投标截止日期前半年内任一月的社保证明为准）；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教学资源及科研课题建设能力 (5.0分)</w:t>
            </w:r>
          </w:p>
        </w:tc>
        <w:tc>
          <w:tcPr>
            <w:tcW w:w="5076" w:type="dxa"/>
          </w:tcPr>
          <w:p>
            <w:pPr>
              <w:jc w:val="left"/>
            </w:pPr>
            <w:r>
              <w:t>投标人应具有丰富的教学资源开发及科研课题建设能力，曾统筹编写并出版汽车类教材8本以上，得2分（提供出版社开具的出版证明复印件加盖公章，教材相关信息页，原件备查），不符合或不满足不得分；投标人投入本项目团队成员获得国家级协会或学会教学成果三等奖以上奖项2项以上，得3分（提供获奖证书复印件加盖公章，原件备查），不符合或不满足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投标报价</w:t>
            </w:r>
          </w:p>
        </w:tc>
        <w:tc>
          <w:tcPr>
            <w:tcW w:w="2307" w:type="dxa"/>
          </w:tcPr>
          <w:p>
            <w:pPr>
              <w:jc w:val="left"/>
            </w:pPr>
            <w:r>
              <w:t>投标报价得分 (30.0分)</w:t>
            </w:r>
          </w:p>
        </w:tc>
        <w:tc>
          <w:tcPr>
            <w:tcW w:w="5076" w:type="dxa"/>
          </w:tcPr>
          <w:p>
            <w:pPr>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
      <w:r>
        <w:rPr>
          <w:b/>
          <w:sz w:val="24"/>
        </w:rPr>
        <w:t>4.汇总、排序</w:t>
      </w:r>
    </w:p>
    <w:p>
      <w:pPr>
        <w:ind w:firstLine="480"/>
      </w:pPr>
    </w:p>
    <w:p/>
    <w:p>
      <w:r>
        <w:t>采购包1：</w:t>
      </w:r>
    </w:p>
    <w:p/>
    <w:p>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
      <w:r>
        <w:rPr>
          <w:b/>
          <w:sz w:val="24"/>
        </w:rPr>
        <w:t>5.中标价的确定</w:t>
      </w:r>
    </w:p>
    <w:p>
      <w:pPr>
        <w:ind w:firstLine="480"/>
      </w:pPr>
      <w:r>
        <w:t>除了按第四章第一点第7条修正并经投标人确认的投标报价作为中标价外，中标价以开标时公开唱标价为准。</w:t>
      </w:r>
    </w:p>
    <w:p>
      <w:r>
        <w:rPr>
          <w:b/>
          <w:sz w:val="24"/>
        </w:rPr>
        <w:t>6.其他无效投标的情形：</w:t>
      </w:r>
    </w:p>
    <w:p>
      <w:pPr>
        <w:ind w:firstLine="480"/>
      </w:pPr>
      <w:r>
        <w:t>(1)评标期间，投标人没有按评标委员会的要求提交法定代表人或其委托代理人签字的澄清、说明、补正或改变了投标文件的实质性内容的。</w:t>
      </w:r>
    </w:p>
    <w:p>
      <w:pPr>
        <w:ind w:firstLine="480"/>
      </w:pPr>
      <w:r>
        <w:t>(2)投标文件提供虚假材料的。</w:t>
      </w:r>
    </w:p>
    <w:p>
      <w:pPr>
        <w:ind w:firstLine="480"/>
      </w:pPr>
      <w:r>
        <w:t>(3)投标人以他人名义投标、串通投标、以行贿手段谋取中标或者以其他弄虚作假方式投标的。</w:t>
      </w:r>
    </w:p>
    <w:p>
      <w:pPr>
        <w:ind w:firstLine="480"/>
      </w:pPr>
      <w:r>
        <w:t>(4)投标人对采购人、采购代理机构、评标委员会及其工作人员施加影响，有碍招标公平、公正的。</w:t>
      </w:r>
    </w:p>
    <w:p>
      <w:pPr>
        <w:ind w:firstLine="480"/>
      </w:pPr>
      <w:r>
        <w:t>(5)投标文件含有采购人不能接受的附加条件的。</w:t>
      </w:r>
    </w:p>
    <w:p>
      <w:pPr>
        <w:ind w:firstLine="480"/>
      </w:pPr>
      <w:r>
        <w:t>(6)法律、法规和招标文件规定的其他无效情形。</w:t>
      </w:r>
    </w:p>
    <w:p>
      <w:pPr>
        <w:ind w:firstLine="480"/>
      </w:pPr>
    </w:p>
    <w:p>
      <w:r>
        <w:t xml:space="preserve"> </w:t>
      </w:r>
    </w:p>
    <w:p/>
    <w:p>
      <w:pPr>
        <w:jc w:val="center"/>
      </w:pPr>
      <w:r>
        <w:rPr>
          <w:b/>
          <w:sz w:val="36"/>
        </w:rPr>
        <w:t>第五章 合同文本</w:t>
      </w:r>
    </w:p>
    <w:p>
      <w:pPr>
        <w:ind w:firstLine="480"/>
      </w:pPr>
    </w:p>
    <w:p/>
    <w:p/>
    <w:p>
      <w:pPr>
        <w:jc w:val="center"/>
      </w:pPr>
      <w:r>
        <w:rPr>
          <w:b/>
          <w:sz w:val="24"/>
        </w:rPr>
        <w:t xml:space="preserve"> </w:t>
      </w:r>
    </w:p>
    <w:p>
      <w:pPr>
        <w:jc w:val="center"/>
      </w:pPr>
      <w:r>
        <w:rPr>
          <w:b/>
          <w:sz w:val="24"/>
        </w:rPr>
        <w:t xml:space="preserve"> </w:t>
      </w:r>
    </w:p>
    <w:p>
      <w:pPr>
        <w:jc w:val="center"/>
      </w:pPr>
      <w:r>
        <w:rPr>
          <w:b/>
          <w:sz w:val="24"/>
        </w:rPr>
        <w:t xml:space="preserve"> </w:t>
      </w:r>
    </w:p>
    <w:p>
      <w:pPr>
        <w:jc w:val="center"/>
      </w:pPr>
      <w:r>
        <w:rPr>
          <w:b/>
          <w:sz w:val="48"/>
        </w:rPr>
        <w:t>广东省政府采购</w:t>
      </w:r>
    </w:p>
    <w:p>
      <w:pPr>
        <w:jc w:val="both"/>
      </w:pPr>
      <w:r>
        <w:rPr>
          <w:b/>
          <w:sz w:val="24"/>
        </w:rPr>
        <w:t xml:space="preserve"> </w:t>
      </w:r>
    </w:p>
    <w:p>
      <w:pPr>
        <w:jc w:val="center"/>
      </w:pPr>
      <w:r>
        <w:rPr>
          <w:b/>
          <w:sz w:val="48"/>
        </w:rPr>
        <w:t>合　同　书</w:t>
      </w:r>
    </w:p>
    <w:p>
      <w:pPr>
        <w:jc w:val="center"/>
      </w:pPr>
      <w:r>
        <w:br w:type="textWrapping"/>
      </w:r>
      <w:r>
        <w:br w:type="textWrapping"/>
      </w:r>
      <w:r>
        <w:rPr>
          <w:sz w:val="24"/>
        </w:rPr>
        <w:t>注：本合同为中小型企业预留合同</w:t>
      </w:r>
      <w:r>
        <w:br w:type="textWrapping"/>
      </w:r>
      <w:r>
        <w:br w:type="textWrapping"/>
      </w:r>
      <w:r>
        <w:br w:type="textWrapping"/>
      </w:r>
      <w:r>
        <w:rPr>
          <w:sz w:val="24"/>
        </w:rPr>
        <w:t xml:space="preserve"> </w:t>
      </w:r>
    </w:p>
    <w:p>
      <w:pPr>
        <w:jc w:val="center"/>
      </w:pPr>
      <w:r>
        <w:rPr>
          <w:color w:val="222222"/>
          <w:sz w:val="28"/>
        </w:rPr>
        <w:t>采购计划编号：</w:t>
      </w:r>
      <w:r>
        <w:rPr>
          <w:sz w:val="24"/>
          <w:u w:val="single"/>
        </w:rPr>
        <w:t xml:space="preserve">                          </w:t>
      </w:r>
    </w:p>
    <w:p>
      <w:pPr>
        <w:jc w:val="both"/>
      </w:pPr>
      <w:r>
        <w:rPr>
          <w:sz w:val="24"/>
        </w:rPr>
        <w:t xml:space="preserve"> </w:t>
      </w:r>
    </w:p>
    <w:p>
      <w:pPr>
        <w:jc w:val="center"/>
      </w:pPr>
      <w:r>
        <w:rPr>
          <w:color w:val="222222"/>
          <w:sz w:val="28"/>
        </w:rPr>
        <w:t>项目编号：</w:t>
      </w:r>
      <w:r>
        <w:rPr>
          <w:sz w:val="24"/>
          <w:u w:val="single"/>
        </w:rPr>
        <w:t xml:space="preserve">                               </w:t>
      </w:r>
    </w:p>
    <w:p>
      <w:pPr>
        <w:jc w:val="both"/>
      </w:pPr>
      <w:r>
        <w:rPr>
          <w:sz w:val="24"/>
        </w:rPr>
        <w:t xml:space="preserve"> </w:t>
      </w:r>
    </w:p>
    <w:p>
      <w:pPr>
        <w:jc w:val="center"/>
      </w:pPr>
      <w:r>
        <w:rPr>
          <w:color w:val="222222"/>
          <w:sz w:val="28"/>
        </w:rPr>
        <w:t>项目名称：</w:t>
      </w:r>
      <w:r>
        <w:rPr>
          <w:sz w:val="24"/>
          <w:u w:val="single"/>
        </w:rPr>
        <w:t xml:space="preserve">                             </w:t>
      </w:r>
    </w:p>
    <w:p>
      <w:pPr>
        <w:jc w:val="center"/>
      </w:pPr>
    </w:p>
    <w:p>
      <w:pPr>
        <w:jc w:val="center"/>
      </w:pPr>
    </w:p>
    <w:p>
      <w:pPr>
        <w:jc w:val="center"/>
      </w:pPr>
    </w:p>
    <w:p>
      <w:pPr>
        <w:jc w:val="center"/>
      </w:pPr>
    </w:p>
    <w:p>
      <w:pPr>
        <w:jc w:val="both"/>
      </w:pPr>
      <w:r>
        <w:rPr>
          <w:b/>
          <w:sz w:val="27"/>
        </w:rPr>
        <w:t>甲　　方：</w:t>
      </w:r>
    </w:p>
    <w:p>
      <w:pPr>
        <w:jc w:val="both"/>
      </w:pPr>
      <w:r>
        <w:rPr>
          <w:sz w:val="27"/>
        </w:rPr>
        <w:t>电　　话：　　传　　真：　　地　　址：</w:t>
      </w:r>
    </w:p>
    <w:p>
      <w:pPr>
        <w:jc w:val="both"/>
      </w:pPr>
      <w:r>
        <w:rPr>
          <w:b/>
          <w:sz w:val="27"/>
        </w:rPr>
        <w:t>乙　　方：</w:t>
      </w:r>
    </w:p>
    <w:p>
      <w:pPr>
        <w:jc w:val="both"/>
      </w:pPr>
      <w:r>
        <w:rPr>
          <w:sz w:val="27"/>
        </w:rPr>
        <w:t>电　　话：　　传　　真：　　地　　址：</w:t>
      </w:r>
    </w:p>
    <w:p>
      <w:pPr>
        <w:jc w:val="both"/>
      </w:pPr>
      <w:r>
        <w:rPr>
          <w:sz w:val="24"/>
        </w:rPr>
        <w:t xml:space="preserve"> </w:t>
      </w:r>
    </w:p>
    <w:p>
      <w:pPr>
        <w:ind w:firstLine="404"/>
        <w:jc w:val="both"/>
      </w:pPr>
      <w:r>
        <w:rPr>
          <w:sz w:val="27"/>
        </w:rPr>
        <w:t>根据</w:t>
      </w:r>
      <w:r>
        <w:rPr>
          <w:sz w:val="27"/>
          <w:u w:val="single"/>
        </w:rPr>
        <w:t xml:space="preserve">             项目</w:t>
      </w:r>
      <w:r>
        <w:rPr>
          <w:sz w:val="27"/>
        </w:rPr>
        <w:t>的采购结果，按照《中华人民共和国政府采购法》、《中华人民共和国民法典(合同编)》的规定，经双方协商，本着平等互利和诚实信用的原则，一致同意签订本合同如下。</w:t>
      </w:r>
    </w:p>
    <w:p>
      <w:pPr>
        <w:jc w:val="both"/>
      </w:pPr>
      <w:r>
        <w:rPr>
          <w:b/>
          <w:sz w:val="27"/>
        </w:rPr>
        <w:t>一、</w:t>
      </w:r>
      <w:r>
        <w:rPr>
          <w:sz w:val="24"/>
        </w:rPr>
        <w:t xml:space="preserve"> </w:t>
      </w:r>
      <w:r>
        <w:rPr>
          <w:b/>
          <w:sz w:val="27"/>
        </w:rPr>
        <w:t>货物内容</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0"/>
        <w:gridCol w:w="3513"/>
        <w:gridCol w:w="690"/>
        <w:gridCol w:w="470"/>
        <w:gridCol w:w="470"/>
        <w:gridCol w:w="936"/>
        <w:gridCol w:w="93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single" w:color="CCCCCC" w:sz="4" w:space="0"/>
              <w:left w:val="single" w:color="CCCCCC" w:sz="4" w:space="0"/>
              <w:bottom w:val="single" w:color="CCCCCC" w:sz="8" w:space="0"/>
              <w:right w:val="single" w:color="CCCCCC" w:sz="4" w:space="0"/>
            </w:tcBorders>
            <w:vAlign w:val="top"/>
          </w:tcPr>
          <w:p>
            <w:pPr>
              <w:jc w:val="both"/>
            </w:pPr>
            <w:r>
              <w:rPr>
                <w:sz w:val="24"/>
              </w:rPr>
              <w:t>名称</w:t>
            </w:r>
          </w:p>
        </w:tc>
        <w:tc>
          <w:tcPr>
            <w:tcW w:w="3513" w:type="dxa"/>
            <w:tcBorders>
              <w:top w:val="single" w:color="CCCCCC" w:sz="4" w:space="0"/>
              <w:left w:val="nil"/>
              <w:bottom w:val="single" w:color="CCCCCC" w:sz="8" w:space="0"/>
              <w:right w:val="single" w:color="CCCCCC" w:sz="4" w:space="0"/>
            </w:tcBorders>
            <w:vAlign w:val="top"/>
          </w:tcPr>
          <w:p>
            <w:pPr>
              <w:jc w:val="center"/>
            </w:pPr>
            <w:r>
              <w:rPr>
                <w:sz w:val="24"/>
              </w:rPr>
              <w:t xml:space="preserve">品牌、规格、标准/主要服务内容 </w:t>
            </w:r>
          </w:p>
        </w:tc>
        <w:tc>
          <w:tcPr>
            <w:tcW w:w="690" w:type="dxa"/>
            <w:tcBorders>
              <w:top w:val="single" w:color="CCCCCC" w:sz="4" w:space="0"/>
              <w:left w:val="nil"/>
              <w:bottom w:val="single" w:color="CCCCCC" w:sz="8" w:space="0"/>
              <w:right w:val="single" w:color="CCCCCC" w:sz="4" w:space="0"/>
            </w:tcBorders>
            <w:vAlign w:val="top"/>
          </w:tcPr>
          <w:p>
            <w:pPr>
              <w:jc w:val="both"/>
            </w:pPr>
            <w:r>
              <w:rPr>
                <w:sz w:val="24"/>
              </w:rPr>
              <w:t>产地</w:t>
            </w:r>
          </w:p>
        </w:tc>
        <w:tc>
          <w:tcPr>
            <w:tcW w:w="470" w:type="dxa"/>
            <w:tcBorders>
              <w:top w:val="single" w:color="CCCCCC" w:sz="4" w:space="0"/>
              <w:left w:val="nil"/>
              <w:bottom w:val="single" w:color="CCCCCC" w:sz="8" w:space="0"/>
              <w:right w:val="single" w:color="CCCCCC" w:sz="4" w:space="0"/>
            </w:tcBorders>
            <w:vAlign w:val="top"/>
          </w:tcPr>
          <w:p>
            <w:pPr>
              <w:jc w:val="center"/>
            </w:pPr>
            <w:r>
              <w:rPr>
                <w:sz w:val="24"/>
              </w:rPr>
              <w:t>数量</w:t>
            </w:r>
          </w:p>
        </w:tc>
        <w:tc>
          <w:tcPr>
            <w:tcW w:w="470" w:type="dxa"/>
            <w:tcBorders>
              <w:top w:val="single" w:color="CCCCCC" w:sz="4" w:space="0"/>
              <w:left w:val="nil"/>
              <w:bottom w:val="single" w:color="CCCCCC" w:sz="8" w:space="0"/>
              <w:right w:val="single" w:color="CCCCCC" w:sz="4" w:space="0"/>
            </w:tcBorders>
            <w:vAlign w:val="top"/>
          </w:tcPr>
          <w:p>
            <w:pPr>
              <w:jc w:val="center"/>
            </w:pPr>
            <w:r>
              <w:rPr>
                <w:sz w:val="24"/>
              </w:rPr>
              <w:t>单位</w:t>
            </w:r>
          </w:p>
        </w:tc>
        <w:tc>
          <w:tcPr>
            <w:tcW w:w="705" w:type="dxa"/>
            <w:tcBorders>
              <w:top w:val="single" w:color="CCCCCC" w:sz="4" w:space="0"/>
              <w:left w:val="nil"/>
              <w:bottom w:val="single" w:color="CCCCCC" w:sz="8" w:space="0"/>
              <w:right w:val="single" w:color="CCCCCC" w:sz="4" w:space="0"/>
            </w:tcBorders>
            <w:vAlign w:val="top"/>
          </w:tcPr>
          <w:p>
            <w:pPr>
              <w:jc w:val="center"/>
            </w:pPr>
            <w:r>
              <w:rPr>
                <w:sz w:val="24"/>
              </w:rPr>
              <w:t>单价</w:t>
            </w:r>
          </w:p>
          <w:p>
            <w:pPr>
              <w:jc w:val="center"/>
            </w:pPr>
            <w:r>
              <w:rPr>
                <w:sz w:val="24"/>
              </w:rPr>
              <w:t>（元）</w:t>
            </w:r>
          </w:p>
        </w:tc>
        <w:tc>
          <w:tcPr>
            <w:tcW w:w="705" w:type="dxa"/>
            <w:tcBorders>
              <w:top w:val="single" w:color="CCCCCC" w:sz="4" w:space="0"/>
              <w:left w:val="nil"/>
              <w:bottom w:val="single" w:color="CCCCCC" w:sz="8" w:space="0"/>
              <w:right w:val="single" w:color="CCCCCC" w:sz="4" w:space="0"/>
            </w:tcBorders>
            <w:vAlign w:val="top"/>
          </w:tcPr>
          <w:p>
            <w:pPr>
              <w:jc w:val="center"/>
            </w:pPr>
            <w:r>
              <w:rPr>
                <w:sz w:val="24"/>
              </w:rPr>
              <w:t>金额</w:t>
            </w:r>
          </w:p>
          <w:p>
            <w:pPr>
              <w:jc w:val="center"/>
            </w:pPr>
            <w:r>
              <w:rPr>
                <w:sz w:val="24"/>
              </w:rPr>
              <w:t>（元）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CCCCCC" w:sz="4" w:space="0"/>
              <w:bottom w:val="single" w:color="CCCCCC" w:sz="4" w:space="0"/>
              <w:right w:val="single" w:color="CCCCCC" w:sz="4" w:space="0"/>
            </w:tcBorders>
            <w:vAlign w:val="top"/>
          </w:tcPr>
          <w:p>
            <w:pPr>
              <w:jc w:val="center"/>
            </w:pPr>
            <w:r>
              <w:rPr>
                <w:sz w:val="24"/>
              </w:rPr>
              <w:t xml:space="preserve"> **</w:t>
            </w:r>
          </w:p>
        </w:tc>
        <w:tc>
          <w:tcPr>
            <w:tcW w:w="3513" w:type="dxa"/>
            <w:tcBorders>
              <w:top w:val="nil"/>
              <w:left w:val="nil"/>
              <w:bottom w:val="single" w:color="CCCCCC" w:sz="4" w:space="0"/>
              <w:right w:val="single" w:color="CCCCCC" w:sz="4" w:space="0"/>
            </w:tcBorders>
            <w:vAlign w:val="top"/>
          </w:tcPr>
          <w:p>
            <w:pPr>
              <w:jc w:val="center"/>
            </w:pPr>
            <w:r>
              <w:rPr>
                <w:sz w:val="24"/>
              </w:rPr>
              <w:t xml:space="preserve">** </w:t>
            </w:r>
          </w:p>
        </w:tc>
        <w:tc>
          <w:tcPr>
            <w:tcW w:w="690" w:type="dxa"/>
            <w:tcBorders>
              <w:top w:val="nil"/>
              <w:left w:val="nil"/>
              <w:bottom w:val="single" w:color="CCCCCC" w:sz="4" w:space="0"/>
              <w:right w:val="single" w:color="CCCCCC" w:sz="4" w:space="0"/>
            </w:tcBorders>
            <w:vAlign w:val="top"/>
          </w:tcPr>
          <w:p>
            <w:pPr>
              <w:jc w:val="center"/>
            </w:pPr>
            <w:r>
              <w:rPr>
                <w:sz w:val="24"/>
              </w:rPr>
              <w:t xml:space="preserve">** </w:t>
            </w:r>
          </w:p>
        </w:tc>
        <w:tc>
          <w:tcPr>
            <w:tcW w:w="470" w:type="dxa"/>
            <w:tcBorders>
              <w:top w:val="nil"/>
              <w:left w:val="nil"/>
              <w:bottom w:val="single" w:color="CCCCCC" w:sz="4" w:space="0"/>
              <w:right w:val="single" w:color="CCCCCC" w:sz="4" w:space="0"/>
            </w:tcBorders>
            <w:vAlign w:val="top"/>
          </w:tcPr>
          <w:p>
            <w:pPr>
              <w:jc w:val="center"/>
            </w:pPr>
            <w:r>
              <w:rPr>
                <w:sz w:val="24"/>
              </w:rPr>
              <w:t xml:space="preserve">** </w:t>
            </w:r>
          </w:p>
        </w:tc>
        <w:tc>
          <w:tcPr>
            <w:tcW w:w="470" w:type="dxa"/>
            <w:tcBorders>
              <w:top w:val="nil"/>
              <w:left w:val="nil"/>
              <w:bottom w:val="single" w:color="CCCCCC" w:sz="4" w:space="0"/>
              <w:right w:val="single" w:color="CCCCCC" w:sz="4" w:space="0"/>
            </w:tcBorders>
            <w:vAlign w:val="top"/>
          </w:tcPr>
          <w:p>
            <w:pPr>
              <w:jc w:val="center"/>
            </w:pPr>
            <w:r>
              <w:rPr>
                <w:sz w:val="24"/>
              </w:rPr>
              <w:t xml:space="preserve">** </w:t>
            </w:r>
          </w:p>
        </w:tc>
        <w:tc>
          <w:tcPr>
            <w:tcW w:w="705" w:type="dxa"/>
            <w:tcBorders>
              <w:top w:val="nil"/>
              <w:left w:val="nil"/>
              <w:bottom w:val="single" w:color="CCCCCC" w:sz="4" w:space="0"/>
              <w:right w:val="single" w:color="CCCCCC" w:sz="4" w:space="0"/>
            </w:tcBorders>
            <w:vAlign w:val="top"/>
          </w:tcPr>
          <w:p>
            <w:pPr>
              <w:jc w:val="center"/>
            </w:pPr>
            <w:r>
              <w:rPr>
                <w:sz w:val="24"/>
              </w:rPr>
              <w:t xml:space="preserve"> **</w:t>
            </w:r>
          </w:p>
        </w:tc>
        <w:tc>
          <w:tcPr>
            <w:tcW w:w="705" w:type="dxa"/>
            <w:tcBorders>
              <w:top w:val="nil"/>
              <w:left w:val="nil"/>
              <w:bottom w:val="single" w:color="CCCCCC" w:sz="4" w:space="0"/>
              <w:right w:val="single" w:color="CCCCCC" w:sz="4" w:space="0"/>
            </w:tcBorders>
            <w:vAlign w:val="top"/>
          </w:tcPr>
          <w:p>
            <w:pPr>
              <w:jc w:val="center"/>
            </w:pPr>
            <w:r>
              <w:rPr>
                <w:sz w:val="24"/>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CCCCCC" w:sz="4" w:space="0"/>
              <w:bottom w:val="single" w:color="CCCCCC" w:sz="4" w:space="0"/>
              <w:right w:val="single" w:color="CCCCCC" w:sz="4" w:space="0"/>
            </w:tcBorders>
            <w:vAlign w:val="top"/>
          </w:tcPr>
          <w:p>
            <w:pPr>
              <w:jc w:val="center"/>
            </w:pPr>
            <w:r>
              <w:rPr>
                <w:sz w:val="24"/>
              </w:rPr>
              <w:t xml:space="preserve"> </w:t>
            </w:r>
          </w:p>
        </w:tc>
        <w:tc>
          <w:tcPr>
            <w:tcW w:w="3513" w:type="dxa"/>
            <w:tcBorders>
              <w:top w:val="nil"/>
              <w:left w:val="nil"/>
              <w:bottom w:val="single" w:color="CCCCCC" w:sz="4" w:space="0"/>
              <w:right w:val="single" w:color="CCCCCC" w:sz="4" w:space="0"/>
            </w:tcBorders>
            <w:vAlign w:val="top"/>
          </w:tcPr>
          <w:p>
            <w:pPr>
              <w:jc w:val="center"/>
            </w:pPr>
            <w:r>
              <w:rPr>
                <w:sz w:val="24"/>
              </w:rPr>
              <w:t xml:space="preserve"> </w:t>
            </w:r>
          </w:p>
        </w:tc>
        <w:tc>
          <w:tcPr>
            <w:tcW w:w="690" w:type="dxa"/>
            <w:tcBorders>
              <w:top w:val="nil"/>
              <w:left w:val="nil"/>
              <w:bottom w:val="single" w:color="CCCCCC" w:sz="4" w:space="0"/>
              <w:right w:val="single" w:color="CCCCCC" w:sz="4" w:space="0"/>
            </w:tcBorders>
            <w:vAlign w:val="top"/>
          </w:tcPr>
          <w:p>
            <w:pPr>
              <w:jc w:val="center"/>
            </w:pPr>
            <w:r>
              <w:rPr>
                <w:sz w:val="24"/>
              </w:rPr>
              <w:t xml:space="preserve"> </w:t>
            </w:r>
          </w:p>
        </w:tc>
        <w:tc>
          <w:tcPr>
            <w:tcW w:w="470" w:type="dxa"/>
            <w:tcBorders>
              <w:top w:val="nil"/>
              <w:left w:val="nil"/>
              <w:bottom w:val="single" w:color="CCCCCC" w:sz="4" w:space="0"/>
              <w:right w:val="single" w:color="CCCCCC" w:sz="4" w:space="0"/>
            </w:tcBorders>
            <w:vAlign w:val="top"/>
          </w:tcPr>
          <w:p>
            <w:pPr>
              <w:jc w:val="center"/>
            </w:pPr>
            <w:r>
              <w:rPr>
                <w:sz w:val="24"/>
              </w:rPr>
              <w:t xml:space="preserve"> </w:t>
            </w:r>
          </w:p>
        </w:tc>
        <w:tc>
          <w:tcPr>
            <w:tcW w:w="470" w:type="dxa"/>
            <w:tcBorders>
              <w:top w:val="nil"/>
              <w:left w:val="nil"/>
              <w:bottom w:val="single" w:color="CCCCCC" w:sz="4" w:space="0"/>
              <w:right w:val="single" w:color="CCCCCC" w:sz="4" w:space="0"/>
            </w:tcBorders>
            <w:vAlign w:val="top"/>
          </w:tcPr>
          <w:p>
            <w:pPr>
              <w:jc w:val="center"/>
            </w:pPr>
            <w:r>
              <w:rPr>
                <w:sz w:val="24"/>
              </w:rPr>
              <w:t xml:space="preserve"> </w:t>
            </w:r>
          </w:p>
        </w:tc>
        <w:tc>
          <w:tcPr>
            <w:tcW w:w="705" w:type="dxa"/>
            <w:tcBorders>
              <w:top w:val="nil"/>
              <w:left w:val="nil"/>
              <w:bottom w:val="single" w:color="CCCCCC" w:sz="4" w:space="0"/>
              <w:right w:val="single" w:color="CCCCCC" w:sz="4" w:space="0"/>
            </w:tcBorders>
            <w:vAlign w:val="top"/>
          </w:tcPr>
          <w:p>
            <w:pPr>
              <w:jc w:val="center"/>
            </w:pPr>
            <w:r>
              <w:rPr>
                <w:sz w:val="24"/>
              </w:rPr>
              <w:t xml:space="preserve"> </w:t>
            </w:r>
          </w:p>
        </w:tc>
        <w:tc>
          <w:tcPr>
            <w:tcW w:w="705" w:type="dxa"/>
            <w:tcBorders>
              <w:top w:val="nil"/>
              <w:left w:val="nil"/>
              <w:bottom w:val="single" w:color="CCCCCC" w:sz="4" w:space="0"/>
              <w:right w:val="single" w:color="CCCCCC" w:sz="4" w:space="0"/>
            </w:tcBorders>
            <w:vAlign w:val="top"/>
          </w:tcPr>
          <w:p>
            <w:pPr>
              <w:jc w:val="center"/>
            </w:pPr>
            <w:r>
              <w:rPr>
                <w:sz w:val="24"/>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CCCCCC" w:sz="4" w:space="0"/>
              <w:bottom w:val="single" w:color="CCCCCC" w:sz="4" w:space="0"/>
              <w:right w:val="single" w:color="CCCCCC" w:sz="4" w:space="0"/>
            </w:tcBorders>
            <w:vAlign w:val="top"/>
          </w:tcPr>
          <w:p>
            <w:pPr>
              <w:jc w:val="center"/>
            </w:pPr>
            <w:r>
              <w:rPr>
                <w:sz w:val="24"/>
              </w:rPr>
              <w:t xml:space="preserve"> </w:t>
            </w:r>
          </w:p>
        </w:tc>
        <w:tc>
          <w:tcPr>
            <w:tcW w:w="3513" w:type="dxa"/>
            <w:tcBorders>
              <w:top w:val="nil"/>
              <w:left w:val="nil"/>
              <w:bottom w:val="single" w:color="CCCCCC" w:sz="4" w:space="0"/>
              <w:right w:val="single" w:color="CCCCCC" w:sz="4" w:space="0"/>
            </w:tcBorders>
            <w:vAlign w:val="top"/>
          </w:tcPr>
          <w:p>
            <w:pPr>
              <w:jc w:val="center"/>
            </w:pPr>
            <w:r>
              <w:rPr>
                <w:sz w:val="24"/>
              </w:rPr>
              <w:t xml:space="preserve"> </w:t>
            </w:r>
          </w:p>
        </w:tc>
        <w:tc>
          <w:tcPr>
            <w:tcW w:w="690" w:type="dxa"/>
            <w:tcBorders>
              <w:top w:val="nil"/>
              <w:left w:val="nil"/>
              <w:bottom w:val="single" w:color="CCCCCC" w:sz="4" w:space="0"/>
              <w:right w:val="single" w:color="CCCCCC" w:sz="4" w:space="0"/>
            </w:tcBorders>
            <w:vAlign w:val="top"/>
          </w:tcPr>
          <w:p>
            <w:pPr>
              <w:jc w:val="center"/>
            </w:pPr>
            <w:r>
              <w:rPr>
                <w:sz w:val="24"/>
              </w:rPr>
              <w:t xml:space="preserve"> </w:t>
            </w:r>
          </w:p>
        </w:tc>
        <w:tc>
          <w:tcPr>
            <w:tcW w:w="470" w:type="dxa"/>
            <w:tcBorders>
              <w:top w:val="nil"/>
              <w:left w:val="nil"/>
              <w:bottom w:val="single" w:color="CCCCCC" w:sz="4" w:space="0"/>
              <w:right w:val="single" w:color="CCCCCC" w:sz="4" w:space="0"/>
            </w:tcBorders>
            <w:vAlign w:val="top"/>
          </w:tcPr>
          <w:p>
            <w:pPr>
              <w:jc w:val="center"/>
            </w:pPr>
            <w:r>
              <w:rPr>
                <w:sz w:val="24"/>
              </w:rPr>
              <w:t xml:space="preserve"> </w:t>
            </w:r>
          </w:p>
        </w:tc>
        <w:tc>
          <w:tcPr>
            <w:tcW w:w="470" w:type="dxa"/>
            <w:tcBorders>
              <w:top w:val="nil"/>
              <w:left w:val="nil"/>
              <w:bottom w:val="single" w:color="CCCCCC" w:sz="4" w:space="0"/>
              <w:right w:val="single" w:color="CCCCCC" w:sz="4" w:space="0"/>
            </w:tcBorders>
            <w:vAlign w:val="top"/>
          </w:tcPr>
          <w:p>
            <w:pPr>
              <w:jc w:val="center"/>
            </w:pPr>
            <w:r>
              <w:rPr>
                <w:sz w:val="24"/>
              </w:rPr>
              <w:t xml:space="preserve"> </w:t>
            </w:r>
          </w:p>
        </w:tc>
        <w:tc>
          <w:tcPr>
            <w:tcW w:w="705" w:type="dxa"/>
            <w:tcBorders>
              <w:top w:val="nil"/>
              <w:left w:val="nil"/>
              <w:bottom w:val="single" w:color="CCCCCC" w:sz="4" w:space="0"/>
              <w:right w:val="single" w:color="CCCCCC" w:sz="4" w:space="0"/>
            </w:tcBorders>
            <w:vAlign w:val="top"/>
          </w:tcPr>
          <w:p>
            <w:pPr>
              <w:jc w:val="center"/>
            </w:pPr>
            <w:r>
              <w:rPr>
                <w:sz w:val="24"/>
              </w:rPr>
              <w:t xml:space="preserve"> </w:t>
            </w:r>
          </w:p>
        </w:tc>
        <w:tc>
          <w:tcPr>
            <w:tcW w:w="705" w:type="dxa"/>
            <w:tcBorders>
              <w:top w:val="nil"/>
              <w:left w:val="nil"/>
              <w:bottom w:val="single" w:color="CCCCCC" w:sz="4" w:space="0"/>
              <w:right w:val="single" w:color="CCCCCC" w:sz="4" w:space="0"/>
            </w:tcBorders>
            <w:vAlign w:val="top"/>
          </w:tcPr>
          <w:p>
            <w:pPr>
              <w:jc w:val="center"/>
            </w:pPr>
            <w:r>
              <w:rPr>
                <w:sz w:val="24"/>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CCCCCC" w:sz="4" w:space="0"/>
              <w:bottom w:val="single" w:color="CCCCCC" w:sz="4" w:space="0"/>
              <w:right w:val="single" w:color="CCCCCC" w:sz="4" w:space="0"/>
            </w:tcBorders>
            <w:vAlign w:val="top"/>
          </w:tcPr>
          <w:p>
            <w:pPr>
              <w:jc w:val="center"/>
            </w:pPr>
            <w:r>
              <w:rPr>
                <w:sz w:val="24"/>
              </w:rPr>
              <w:t xml:space="preserve"> </w:t>
            </w:r>
          </w:p>
        </w:tc>
        <w:tc>
          <w:tcPr>
            <w:tcW w:w="3513" w:type="dxa"/>
            <w:tcBorders>
              <w:top w:val="nil"/>
              <w:left w:val="nil"/>
              <w:bottom w:val="single" w:color="CCCCCC" w:sz="4" w:space="0"/>
              <w:right w:val="single" w:color="CCCCCC" w:sz="4" w:space="0"/>
            </w:tcBorders>
            <w:vAlign w:val="top"/>
          </w:tcPr>
          <w:p>
            <w:pPr>
              <w:jc w:val="center"/>
            </w:pPr>
            <w:r>
              <w:rPr>
                <w:sz w:val="24"/>
              </w:rPr>
              <w:t xml:space="preserve"> </w:t>
            </w:r>
          </w:p>
        </w:tc>
        <w:tc>
          <w:tcPr>
            <w:tcW w:w="690" w:type="dxa"/>
            <w:tcBorders>
              <w:top w:val="nil"/>
              <w:left w:val="nil"/>
              <w:bottom w:val="single" w:color="CCCCCC" w:sz="4" w:space="0"/>
              <w:right w:val="single" w:color="CCCCCC" w:sz="4" w:space="0"/>
            </w:tcBorders>
            <w:vAlign w:val="top"/>
          </w:tcPr>
          <w:p>
            <w:pPr>
              <w:jc w:val="center"/>
            </w:pPr>
            <w:r>
              <w:rPr>
                <w:sz w:val="24"/>
              </w:rPr>
              <w:t xml:space="preserve"> </w:t>
            </w:r>
          </w:p>
        </w:tc>
        <w:tc>
          <w:tcPr>
            <w:tcW w:w="470" w:type="dxa"/>
            <w:tcBorders>
              <w:top w:val="nil"/>
              <w:left w:val="nil"/>
              <w:bottom w:val="single" w:color="CCCCCC" w:sz="4" w:space="0"/>
              <w:right w:val="single" w:color="CCCCCC" w:sz="4" w:space="0"/>
            </w:tcBorders>
            <w:vAlign w:val="top"/>
          </w:tcPr>
          <w:p>
            <w:pPr>
              <w:jc w:val="center"/>
            </w:pPr>
            <w:r>
              <w:rPr>
                <w:sz w:val="24"/>
              </w:rPr>
              <w:t xml:space="preserve"> </w:t>
            </w:r>
          </w:p>
        </w:tc>
        <w:tc>
          <w:tcPr>
            <w:tcW w:w="470" w:type="dxa"/>
            <w:tcBorders>
              <w:top w:val="nil"/>
              <w:left w:val="nil"/>
              <w:bottom w:val="single" w:color="CCCCCC" w:sz="4" w:space="0"/>
              <w:right w:val="single" w:color="CCCCCC" w:sz="4" w:space="0"/>
            </w:tcBorders>
            <w:vAlign w:val="top"/>
          </w:tcPr>
          <w:p>
            <w:pPr>
              <w:jc w:val="center"/>
            </w:pPr>
            <w:r>
              <w:rPr>
                <w:sz w:val="24"/>
              </w:rPr>
              <w:t xml:space="preserve"> </w:t>
            </w:r>
          </w:p>
        </w:tc>
        <w:tc>
          <w:tcPr>
            <w:tcW w:w="705" w:type="dxa"/>
            <w:tcBorders>
              <w:top w:val="nil"/>
              <w:left w:val="nil"/>
              <w:bottom w:val="single" w:color="CCCCCC" w:sz="4" w:space="0"/>
              <w:right w:val="single" w:color="CCCCCC" w:sz="4" w:space="0"/>
            </w:tcBorders>
            <w:vAlign w:val="top"/>
          </w:tcPr>
          <w:p>
            <w:pPr>
              <w:jc w:val="center"/>
            </w:pPr>
            <w:r>
              <w:rPr>
                <w:sz w:val="24"/>
              </w:rPr>
              <w:t xml:space="preserve"> </w:t>
            </w:r>
          </w:p>
        </w:tc>
        <w:tc>
          <w:tcPr>
            <w:tcW w:w="705" w:type="dxa"/>
            <w:tcBorders>
              <w:top w:val="nil"/>
              <w:left w:val="nil"/>
              <w:bottom w:val="single" w:color="CCCCCC" w:sz="4" w:space="0"/>
              <w:right w:val="single" w:color="CCCCCC" w:sz="4" w:space="0"/>
            </w:tcBorders>
            <w:vAlign w:val="top"/>
          </w:tcPr>
          <w:p>
            <w:pPr>
              <w:jc w:val="center"/>
            </w:pPr>
            <w:r>
              <w:rPr>
                <w:sz w:val="24"/>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CCCCCC" w:sz="4" w:space="0"/>
              <w:bottom w:val="single" w:color="CCCCCC" w:sz="4" w:space="0"/>
              <w:right w:val="single" w:color="CCCCCC" w:sz="4" w:space="0"/>
            </w:tcBorders>
            <w:vAlign w:val="top"/>
          </w:tcPr>
          <w:p>
            <w:pPr>
              <w:jc w:val="center"/>
            </w:pPr>
            <w:r>
              <w:rPr>
                <w:sz w:val="24"/>
              </w:rPr>
              <w:t xml:space="preserve"> </w:t>
            </w:r>
          </w:p>
        </w:tc>
        <w:tc>
          <w:tcPr>
            <w:tcW w:w="3513" w:type="dxa"/>
            <w:tcBorders>
              <w:top w:val="nil"/>
              <w:left w:val="nil"/>
              <w:bottom w:val="single" w:color="CCCCCC" w:sz="4" w:space="0"/>
              <w:right w:val="single" w:color="CCCCCC" w:sz="4" w:space="0"/>
            </w:tcBorders>
            <w:vAlign w:val="top"/>
          </w:tcPr>
          <w:p>
            <w:pPr>
              <w:jc w:val="center"/>
            </w:pPr>
            <w:r>
              <w:rPr>
                <w:sz w:val="24"/>
              </w:rPr>
              <w:t xml:space="preserve"> </w:t>
            </w:r>
          </w:p>
        </w:tc>
        <w:tc>
          <w:tcPr>
            <w:tcW w:w="690" w:type="dxa"/>
            <w:tcBorders>
              <w:top w:val="nil"/>
              <w:left w:val="nil"/>
              <w:bottom w:val="single" w:color="CCCCCC" w:sz="4" w:space="0"/>
              <w:right w:val="single" w:color="CCCCCC" w:sz="4" w:space="0"/>
            </w:tcBorders>
            <w:vAlign w:val="top"/>
          </w:tcPr>
          <w:p>
            <w:pPr>
              <w:jc w:val="center"/>
            </w:pPr>
            <w:r>
              <w:rPr>
                <w:sz w:val="24"/>
              </w:rPr>
              <w:t xml:space="preserve"> </w:t>
            </w:r>
          </w:p>
        </w:tc>
        <w:tc>
          <w:tcPr>
            <w:tcW w:w="470" w:type="dxa"/>
            <w:tcBorders>
              <w:top w:val="nil"/>
              <w:left w:val="nil"/>
              <w:bottom w:val="single" w:color="CCCCCC" w:sz="4" w:space="0"/>
              <w:right w:val="single" w:color="CCCCCC" w:sz="4" w:space="0"/>
            </w:tcBorders>
            <w:vAlign w:val="top"/>
          </w:tcPr>
          <w:p>
            <w:pPr>
              <w:jc w:val="center"/>
            </w:pPr>
            <w:r>
              <w:rPr>
                <w:sz w:val="24"/>
              </w:rPr>
              <w:t xml:space="preserve"> </w:t>
            </w:r>
          </w:p>
        </w:tc>
        <w:tc>
          <w:tcPr>
            <w:tcW w:w="470" w:type="dxa"/>
            <w:tcBorders>
              <w:top w:val="nil"/>
              <w:left w:val="nil"/>
              <w:bottom w:val="single" w:color="CCCCCC" w:sz="4" w:space="0"/>
              <w:right w:val="single" w:color="CCCCCC" w:sz="4" w:space="0"/>
            </w:tcBorders>
            <w:vAlign w:val="top"/>
          </w:tcPr>
          <w:p>
            <w:pPr>
              <w:jc w:val="center"/>
            </w:pPr>
            <w:r>
              <w:rPr>
                <w:sz w:val="24"/>
              </w:rPr>
              <w:t xml:space="preserve"> </w:t>
            </w:r>
          </w:p>
        </w:tc>
        <w:tc>
          <w:tcPr>
            <w:tcW w:w="705" w:type="dxa"/>
            <w:tcBorders>
              <w:top w:val="nil"/>
              <w:left w:val="nil"/>
              <w:bottom w:val="single" w:color="CCCCCC" w:sz="4" w:space="0"/>
              <w:right w:val="single" w:color="CCCCCC" w:sz="4" w:space="0"/>
            </w:tcBorders>
            <w:vAlign w:val="top"/>
          </w:tcPr>
          <w:p>
            <w:pPr>
              <w:jc w:val="center"/>
            </w:pPr>
            <w:r>
              <w:rPr>
                <w:sz w:val="24"/>
              </w:rPr>
              <w:t xml:space="preserve"> </w:t>
            </w:r>
          </w:p>
        </w:tc>
        <w:tc>
          <w:tcPr>
            <w:tcW w:w="705" w:type="dxa"/>
            <w:tcBorders>
              <w:top w:val="nil"/>
              <w:left w:val="nil"/>
              <w:bottom w:val="single" w:color="CCCCCC" w:sz="4" w:space="0"/>
              <w:right w:val="single" w:color="CCCCCC" w:sz="4" w:space="0"/>
            </w:tcBorders>
            <w:vAlign w:val="top"/>
          </w:tcPr>
          <w:p>
            <w:pPr>
              <w:jc w:val="center"/>
            </w:pPr>
            <w:r>
              <w:rPr>
                <w:sz w:val="24"/>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38" w:type="dxa"/>
            <w:gridSpan w:val="6"/>
            <w:tcBorders>
              <w:top w:val="nil"/>
              <w:left w:val="single" w:color="CCCCCC" w:sz="4" w:space="0"/>
              <w:bottom w:val="single" w:color="CCCCCC" w:sz="4" w:space="0"/>
              <w:right w:val="single" w:color="CCCCCC" w:sz="4" w:space="0"/>
            </w:tcBorders>
            <w:vAlign w:val="top"/>
          </w:tcPr>
          <w:p>
            <w:pPr>
              <w:jc w:val="center"/>
            </w:pPr>
            <w:r>
              <w:rPr>
                <w:sz w:val="24"/>
              </w:rPr>
              <w:t>合计：人民币大写：**元整</w:t>
            </w:r>
          </w:p>
        </w:tc>
        <w:tc>
          <w:tcPr>
            <w:tcW w:w="705" w:type="dxa"/>
            <w:tcBorders>
              <w:top w:val="nil"/>
              <w:left w:val="nil"/>
              <w:bottom w:val="single" w:color="CCCCCC" w:sz="4" w:space="0"/>
              <w:right w:val="single" w:color="CCCCCC" w:sz="4" w:space="0"/>
            </w:tcBorders>
            <w:vAlign w:val="top"/>
          </w:tcPr>
          <w:p>
            <w:pPr>
              <w:jc w:val="center"/>
            </w:pPr>
            <w:r>
              <w:rPr>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nil"/>
              <w:bottom w:val="nil"/>
              <w:right w:val="nil"/>
            </w:tcBorders>
            <w:vAlign w:val="top"/>
          </w:tcPr>
          <w:p>
            <w:pPr>
              <w:jc w:val="left"/>
            </w:pPr>
          </w:p>
        </w:tc>
        <w:tc>
          <w:tcPr>
            <w:tcW w:w="3513" w:type="dxa"/>
            <w:tcBorders>
              <w:top w:val="nil"/>
              <w:left w:val="nil"/>
              <w:bottom w:val="nil"/>
              <w:right w:val="nil"/>
            </w:tcBorders>
            <w:vAlign w:val="top"/>
          </w:tcPr>
          <w:p>
            <w:pPr>
              <w:jc w:val="left"/>
            </w:pPr>
          </w:p>
        </w:tc>
        <w:tc>
          <w:tcPr>
            <w:tcW w:w="690" w:type="dxa"/>
            <w:tcBorders>
              <w:top w:val="nil"/>
              <w:left w:val="nil"/>
              <w:bottom w:val="nil"/>
              <w:right w:val="nil"/>
            </w:tcBorders>
            <w:vAlign w:val="top"/>
          </w:tcPr>
          <w:p>
            <w:pPr>
              <w:jc w:val="left"/>
            </w:pPr>
          </w:p>
        </w:tc>
        <w:tc>
          <w:tcPr>
            <w:tcW w:w="470" w:type="dxa"/>
            <w:tcBorders>
              <w:top w:val="nil"/>
              <w:left w:val="nil"/>
              <w:bottom w:val="nil"/>
              <w:right w:val="nil"/>
            </w:tcBorders>
            <w:vAlign w:val="top"/>
          </w:tcPr>
          <w:p>
            <w:pPr>
              <w:jc w:val="left"/>
            </w:pPr>
          </w:p>
        </w:tc>
        <w:tc>
          <w:tcPr>
            <w:tcW w:w="470" w:type="dxa"/>
            <w:tcBorders>
              <w:top w:val="nil"/>
              <w:left w:val="nil"/>
              <w:bottom w:val="nil"/>
              <w:right w:val="nil"/>
            </w:tcBorders>
            <w:vAlign w:val="top"/>
          </w:tcPr>
          <w:p>
            <w:pPr>
              <w:jc w:val="left"/>
            </w:pPr>
          </w:p>
        </w:tc>
        <w:tc>
          <w:tcPr>
            <w:tcW w:w="705" w:type="dxa"/>
            <w:tcBorders>
              <w:top w:val="nil"/>
              <w:left w:val="nil"/>
              <w:bottom w:val="nil"/>
              <w:right w:val="nil"/>
            </w:tcBorders>
            <w:vAlign w:val="top"/>
          </w:tcPr>
          <w:p>
            <w:pPr>
              <w:jc w:val="left"/>
            </w:pPr>
          </w:p>
        </w:tc>
        <w:tc>
          <w:tcPr>
            <w:tcW w:w="705" w:type="dxa"/>
            <w:tcBorders>
              <w:top w:val="nil"/>
              <w:left w:val="nil"/>
              <w:bottom w:val="nil"/>
              <w:right w:val="nil"/>
            </w:tcBorders>
            <w:vAlign w:val="top"/>
          </w:tcPr>
          <w:p>
            <w:pPr>
              <w:jc w:val="left"/>
            </w:pPr>
          </w:p>
        </w:tc>
      </w:tr>
    </w:tbl>
    <w:p>
      <w:pPr>
        <w:jc w:val="both"/>
      </w:pPr>
      <w:r>
        <w:rPr>
          <w:sz w:val="24"/>
        </w:rPr>
        <w:t xml:space="preserve"> </w:t>
      </w:r>
    </w:p>
    <w:p>
      <w:pPr>
        <w:ind w:firstLine="400"/>
        <w:jc w:val="both"/>
      </w:pPr>
      <w:r>
        <w:rPr>
          <w:sz w:val="27"/>
        </w:rPr>
        <w:t>合同总额包括乙方设计、安装、随机零配件、标配工具、运输保险、调试、培训、质保期服务、各项税费及合同实施过程中不可预见费用等。</w:t>
      </w:r>
    </w:p>
    <w:p>
      <w:pPr>
        <w:ind w:firstLine="400"/>
        <w:jc w:val="both"/>
      </w:pPr>
      <w:r>
        <w:rPr>
          <w:sz w:val="27"/>
        </w:rPr>
        <w:t>注：货物名称内容必须与投标文件中货物名称内容一致。</w:t>
      </w:r>
    </w:p>
    <w:p>
      <w:pPr>
        <w:jc w:val="both"/>
      </w:pPr>
      <w:r>
        <w:rPr>
          <w:b/>
          <w:sz w:val="27"/>
        </w:rPr>
        <w:t>二、</w:t>
      </w:r>
      <w:r>
        <w:rPr>
          <w:sz w:val="24"/>
        </w:rPr>
        <w:t xml:space="preserve"> </w:t>
      </w:r>
      <w:r>
        <w:rPr>
          <w:b/>
          <w:sz w:val="27"/>
        </w:rPr>
        <w:t>合同金额</w:t>
      </w:r>
    </w:p>
    <w:p>
      <w:pPr>
        <w:jc w:val="both"/>
      </w:pPr>
      <w:r>
        <w:rPr>
          <w:sz w:val="27"/>
        </w:rPr>
        <w:t>合同金额为（大写）：_________________元（￥_______________元）人民币。</w:t>
      </w:r>
    </w:p>
    <w:p>
      <w:pPr>
        <w:jc w:val="both"/>
      </w:pPr>
      <w:r>
        <w:rPr>
          <w:b/>
          <w:sz w:val="27"/>
        </w:rPr>
        <w:t>三、</w:t>
      </w:r>
      <w:r>
        <w:rPr>
          <w:sz w:val="24"/>
        </w:rPr>
        <w:t xml:space="preserve"> </w:t>
      </w:r>
      <w:r>
        <w:rPr>
          <w:b/>
          <w:sz w:val="27"/>
        </w:rPr>
        <w:t>设备要求</w:t>
      </w:r>
    </w:p>
    <w:p>
      <w:pPr>
        <w:jc w:val="both"/>
      </w:pPr>
      <w:r>
        <w:rPr>
          <w:sz w:val="27"/>
        </w:rPr>
        <w:t>货物为原制造商制造的全新产品，整机无污染，无侵权行为、表面无划损、无任何缺陷隐患，在中国境内可依常规安全合法使用。</w:t>
      </w:r>
    </w:p>
    <w:p>
      <w:pPr>
        <w:jc w:val="both"/>
      </w:pPr>
      <w:r>
        <w:rPr>
          <w:b/>
          <w:sz w:val="27"/>
        </w:rPr>
        <w:t>四、</w:t>
      </w:r>
      <w:r>
        <w:rPr>
          <w:sz w:val="24"/>
        </w:rPr>
        <w:t xml:space="preserve"> </w:t>
      </w:r>
      <w:r>
        <w:rPr>
          <w:b/>
          <w:sz w:val="27"/>
        </w:rPr>
        <w:t>交货期、交货方式及交货地点</w:t>
      </w:r>
    </w:p>
    <w:p>
      <w:pPr>
        <w:jc w:val="both"/>
      </w:pPr>
      <w:r>
        <w:rPr>
          <w:sz w:val="27"/>
        </w:rPr>
        <w:t xml:space="preserve">       1.交货期：</w:t>
      </w:r>
    </w:p>
    <w:p>
      <w:pPr>
        <w:jc w:val="both"/>
      </w:pPr>
      <w:r>
        <w:rPr>
          <w:sz w:val="27"/>
        </w:rPr>
        <w:t xml:space="preserve">       2.交货方式：</w:t>
      </w:r>
    </w:p>
    <w:p>
      <w:pPr>
        <w:jc w:val="both"/>
      </w:pPr>
      <w:r>
        <w:rPr>
          <w:sz w:val="27"/>
        </w:rPr>
        <w:t xml:space="preserve">       3.交货地点：</w:t>
      </w:r>
    </w:p>
    <w:p>
      <w:pPr>
        <w:jc w:val="both"/>
      </w:pPr>
      <w:r>
        <w:rPr>
          <w:b/>
          <w:sz w:val="27"/>
        </w:rPr>
        <w:t>五、</w:t>
      </w:r>
      <w:r>
        <w:rPr>
          <w:sz w:val="24"/>
        </w:rPr>
        <w:t xml:space="preserve"> </w:t>
      </w:r>
      <w:r>
        <w:rPr>
          <w:b/>
          <w:sz w:val="27"/>
        </w:rPr>
        <w:t>付款方式</w:t>
      </w:r>
    </w:p>
    <w:p>
      <w:pPr>
        <w:jc w:val="both"/>
      </w:pPr>
      <w:r>
        <w:rPr>
          <w:sz w:val="27"/>
        </w:rPr>
        <w:t>由甲方按下列程序在</w:t>
      </w:r>
      <w:r>
        <w:rPr>
          <w:sz w:val="24"/>
          <w:u w:val="single"/>
        </w:rPr>
        <w:t xml:space="preserve">       </w:t>
      </w:r>
      <w:r>
        <w:rPr>
          <w:sz w:val="27"/>
        </w:rPr>
        <w:t>内付款：</w:t>
      </w:r>
    </w:p>
    <w:p>
      <w:pPr>
        <w:jc w:val="both"/>
      </w:pPr>
      <w:r>
        <w:rPr>
          <w:sz w:val="27"/>
        </w:rPr>
        <w:t>1.预付款：签订合同后，支付合同总价的</w:t>
      </w:r>
      <w:r>
        <w:rPr>
          <w:sz w:val="24"/>
          <w:u w:val="single"/>
        </w:rPr>
        <w:t xml:space="preserve">     </w:t>
      </w:r>
      <w:r>
        <w:rPr>
          <w:sz w:val="27"/>
        </w:rPr>
        <w:t>%。</w:t>
      </w:r>
    </w:p>
    <w:p>
      <w:pPr>
        <w:jc w:val="both"/>
      </w:pPr>
      <w:r>
        <w:rPr>
          <w:sz w:val="27"/>
        </w:rPr>
        <w:t>2.设备安装调试结束，提交全部报告材料，调试完成并验收合格后，支付至合同金额的</w:t>
      </w:r>
      <w:r>
        <w:rPr>
          <w:sz w:val="24"/>
          <w:u w:val="single"/>
        </w:rPr>
        <w:t xml:space="preserve">     </w:t>
      </w:r>
      <w:r>
        <w:rPr>
          <w:sz w:val="27"/>
        </w:rPr>
        <w:t>%，同时无息退还乙方的合同履约保证金。</w:t>
      </w:r>
    </w:p>
    <w:p>
      <w:pPr>
        <w:jc w:val="both"/>
      </w:pPr>
      <w:r>
        <w:rPr>
          <w:sz w:val="27"/>
        </w:rPr>
        <w:t>3.从验收合格之日起，正常使用</w:t>
      </w:r>
      <w:r>
        <w:rPr>
          <w:sz w:val="24"/>
          <w:u w:val="single"/>
        </w:rPr>
        <w:t xml:space="preserve">    </w:t>
      </w:r>
      <w:r>
        <w:rPr>
          <w:sz w:val="27"/>
        </w:rPr>
        <w:t>个月后，支付合同总价的</w:t>
      </w:r>
      <w:r>
        <w:rPr>
          <w:sz w:val="24"/>
          <w:u w:val="single"/>
        </w:rPr>
        <w:t xml:space="preserve">   </w:t>
      </w:r>
      <w:r>
        <w:rPr>
          <w:sz w:val="27"/>
        </w:rPr>
        <w:t>％。</w:t>
      </w:r>
    </w:p>
    <w:p>
      <w:pPr>
        <w:jc w:val="both"/>
      </w:pPr>
      <w:r>
        <w:rPr>
          <w:sz w:val="27"/>
        </w:rPr>
        <w:t>4.  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pPr>
        <w:jc w:val="both"/>
      </w:pPr>
      <w:r>
        <w:rPr>
          <w:b/>
          <w:sz w:val="27"/>
        </w:rPr>
        <w:t>六、履约保证金</w:t>
      </w:r>
    </w:p>
    <w:p>
      <w:pPr>
        <w:ind w:firstLine="540"/>
        <w:jc w:val="both"/>
      </w:pPr>
      <w:r>
        <w:rPr>
          <w:sz w:val="27"/>
        </w:rPr>
        <w:t>合同履约保证金：在签订合同后，五个工作日内乙方以银行转账的形式向甲方缴交合同履约保证金：为合同总金额的3%（合同履约保证金计算公式=合同总金额×3%）。在合同有效期内，乙方履行合同、不存在涉及与本项目有交的第三方经济纠纷行为的，合同期满经采购人验收合格且一年内无项目质量问题的，甲方在7日内如数（不计息）退还乙方。乙方因违约或其它原因给甲方造成损失的，乙方应以履约保证金抵偿，不足以抵偿部分应在收到甲方通知之日5个工作日内支付，否则，甲方有权单方面终止乙方的中标资格和采购合同并继续追偿损失，乙方由此遭受的一切损失和后果由其自行负责。如甲方同意乙方继续履行采购合同，乙方应在收到甲方通知之日起5个工作日内重新补足履约保证金。</w:t>
      </w:r>
    </w:p>
    <w:p>
      <w:pPr>
        <w:jc w:val="both"/>
      </w:pPr>
      <w:r>
        <w:rPr>
          <w:b/>
          <w:sz w:val="27"/>
        </w:rPr>
        <w:t>七、</w:t>
      </w:r>
      <w:r>
        <w:rPr>
          <w:sz w:val="24"/>
        </w:rPr>
        <w:t xml:space="preserve"> </w:t>
      </w:r>
      <w:r>
        <w:rPr>
          <w:b/>
          <w:sz w:val="27"/>
        </w:rPr>
        <w:t>质保期及售后服务要求</w:t>
      </w:r>
    </w:p>
    <w:p>
      <w:pPr>
        <w:jc w:val="both"/>
      </w:pPr>
      <w:r>
        <w:rPr>
          <w:sz w:val="27"/>
        </w:rPr>
        <w:t>1.本合同的质量保证期（简称“质保期”）为</w:t>
      </w:r>
      <w:r>
        <w:rPr>
          <w:sz w:val="24"/>
          <w:u w:val="single"/>
        </w:rPr>
        <w:t xml:space="preserve">    </w:t>
      </w:r>
      <w:r>
        <w:rPr>
          <w:sz w:val="27"/>
        </w:rPr>
        <w:t>年，质保期内乙方对所供货物实行包修、包换、包退及合同约定的其它事项，期满后可同时提供终身</w:t>
      </w:r>
      <w:r>
        <w:rPr>
          <w:sz w:val="27"/>
          <w:u w:val="single"/>
        </w:rPr>
        <w:t>(免费/有偿)</w:t>
      </w:r>
      <w:r>
        <w:rPr>
          <w:sz w:val="27"/>
        </w:rPr>
        <w:t>维修保养服务。</w:t>
      </w:r>
    </w:p>
    <w:p>
      <w:pPr>
        <w:jc w:val="both"/>
      </w:pPr>
      <w:r>
        <w:rPr>
          <w:sz w:val="27"/>
        </w:rPr>
        <w:t>2.质保期内，如设备或零部件因质量原因出现故障而造成短期停用时，则质保期和免费维修期相应顺延。如停用时间累计超过60天则质保期重新计算。</w:t>
      </w:r>
    </w:p>
    <w:p>
      <w:pPr>
        <w:jc w:val="both"/>
      </w:pPr>
      <w:r>
        <w:rPr>
          <w:sz w:val="27"/>
        </w:rPr>
        <w:t>3.对甲方的服务通知，乙方在接报后1小时内响应，4小时内到达现场，48小时内处理完毕。若在48小时内仍未能有效解决，乙方须免费提供同档次的设备予甲方临时使用。</w:t>
      </w:r>
    </w:p>
    <w:p>
      <w:pPr>
        <w:jc w:val="both"/>
      </w:pPr>
      <w:r>
        <w:rPr>
          <w:b/>
          <w:sz w:val="27"/>
        </w:rPr>
        <w:t>八、</w:t>
      </w:r>
      <w:r>
        <w:rPr>
          <w:sz w:val="24"/>
        </w:rPr>
        <w:t xml:space="preserve"> </w:t>
      </w:r>
      <w:r>
        <w:rPr>
          <w:b/>
          <w:sz w:val="27"/>
        </w:rPr>
        <w:t>安装与调试</w:t>
      </w:r>
    </w:p>
    <w:p>
      <w:pPr>
        <w:jc w:val="both"/>
      </w:pPr>
      <w:r>
        <w:rPr>
          <w:sz w:val="27"/>
        </w:rPr>
        <w:t>1.乙方必须依照招标文件的要求和报价文件的承诺，将设备、系统安装并调试至正常运行的最佳状态。</w:t>
      </w:r>
    </w:p>
    <w:p>
      <w:pPr>
        <w:jc w:val="both"/>
      </w:pPr>
      <w:r>
        <w:rPr>
          <w:b/>
          <w:sz w:val="27"/>
        </w:rPr>
        <w:t>九、</w:t>
      </w:r>
      <w:r>
        <w:rPr>
          <w:sz w:val="24"/>
        </w:rPr>
        <w:t xml:space="preserve"> </w:t>
      </w:r>
      <w:r>
        <w:rPr>
          <w:b/>
          <w:sz w:val="27"/>
        </w:rPr>
        <w:t>验收：</w:t>
      </w:r>
    </w:p>
    <w:p>
      <w:pPr>
        <w:jc w:val="both"/>
      </w:pPr>
      <w:r>
        <w:rPr>
          <w:sz w:val="27"/>
        </w:rPr>
        <w:t>1.交付验收标准依次序对照适用标准为：①符合中华人民共和国国家安全质量标准、环保标准或行业标准；②符合招标文件和响应承诺中甲方认可的合理最佳配置、参数及各项要求；③货物来源国官方标准。</w:t>
      </w:r>
    </w:p>
    <w:p>
      <w:pPr>
        <w:jc w:val="both"/>
      </w:pPr>
      <w:r>
        <w:rPr>
          <w:sz w:val="27"/>
        </w:rPr>
        <w:t>2.进口产品必须具备原产地证明和商检局的检验证明及合法进货渠道证明。</w:t>
      </w:r>
    </w:p>
    <w:p>
      <w:pPr>
        <w:jc w:val="both"/>
      </w:pPr>
      <w:r>
        <w:rPr>
          <w:sz w:val="27"/>
        </w:rPr>
        <w:t>3.货物为原厂商未启封全新包装，具出厂合格证，序列号、包装箱号与出厂批号一致，并可追索查阅。所有随设备的附件必须齐全。</w:t>
      </w:r>
    </w:p>
    <w:p>
      <w:pPr>
        <w:jc w:val="both"/>
      </w:pPr>
      <w:r>
        <w:rPr>
          <w:sz w:val="27"/>
        </w:rPr>
        <w:t>4.乙方应将关键主机设备的用户手册、保修手册、有关单证资料及配备件、随机工具等交付给甲方，使用操作及安全须知等重要资料应附有中文说明。</w:t>
      </w:r>
    </w:p>
    <w:p>
      <w:pPr>
        <w:jc w:val="both"/>
      </w:pPr>
      <w:r>
        <w:rPr>
          <w:sz w:val="27"/>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jc w:val="both"/>
      </w:pPr>
      <w:r>
        <w:rPr>
          <w:b/>
          <w:sz w:val="27"/>
        </w:rPr>
        <w:t>十、</w:t>
      </w:r>
      <w:r>
        <w:rPr>
          <w:sz w:val="24"/>
        </w:rPr>
        <w:t xml:space="preserve"> </w:t>
      </w:r>
      <w:r>
        <w:rPr>
          <w:b/>
          <w:sz w:val="27"/>
        </w:rPr>
        <w:t>违约责任与赔偿损失</w:t>
      </w:r>
    </w:p>
    <w:p>
      <w:pPr>
        <w:jc w:val="both"/>
      </w:pPr>
      <w:r>
        <w:rPr>
          <w:sz w:val="27"/>
        </w:rPr>
        <w:t>1.乙方交付的货物、工程/提供的服务不符合本合同规定的，甲方有权拒收，并且乙方须向甲方支付本合同总价5%的违约金。</w:t>
      </w:r>
    </w:p>
    <w:p>
      <w:pPr>
        <w:jc w:val="both"/>
      </w:pPr>
      <w:r>
        <w:rPr>
          <w:sz w:val="27"/>
        </w:rPr>
        <w:t>2.乙方未能按本合同规定的交货时间交付货物的/提供服务，从逾期之日起每日按本合同总价3‰的数额向甲方支付违约金；逾期半个月以上的，甲方有权终止合同，由此造成的甲方经济损失由乙方承担。</w:t>
      </w:r>
    </w:p>
    <w:p>
      <w:pPr>
        <w:jc w:val="both"/>
      </w:pPr>
      <w:r>
        <w:rPr>
          <w:sz w:val="27"/>
        </w:rPr>
        <w:t>3.甲方无正当理由拒收货物/接受服务，到期拒付货物/服务款项的，甲方向乙方偿付本合同总的5%的违约金。甲方人逾期付款，则每日按本合同总价的3‰向乙方偿付违约金。</w:t>
      </w:r>
    </w:p>
    <w:p>
      <w:pPr>
        <w:jc w:val="both"/>
      </w:pPr>
      <w:r>
        <w:rPr>
          <w:sz w:val="27"/>
        </w:rPr>
        <w:t>4.   对于因甲方原因导致变更、中止或者终止政府采购合同的，甲方应当依照以下合同约定对供应商受到的损失予以赔偿或者补偿：</w:t>
      </w:r>
    </w:p>
    <w:p>
      <w:pPr>
        <w:jc w:val="both"/>
      </w:pPr>
      <w:r>
        <w:rPr>
          <w:sz w:val="24"/>
        </w:rPr>
        <w:t xml:space="preserve">       </w:t>
      </w:r>
      <w:r>
        <w:rPr>
          <w:sz w:val="24"/>
          <w:u w:val="single"/>
        </w:rPr>
        <w:t xml:space="preserve">                                                </w:t>
      </w:r>
    </w:p>
    <w:p>
      <w:pPr>
        <w:jc w:val="both"/>
      </w:pPr>
      <w:r>
        <w:rPr>
          <w:sz w:val="27"/>
        </w:rPr>
        <w:t>5.其它违约责任按《中华人民共和国民法典(合同编)》处理。</w:t>
      </w:r>
    </w:p>
    <w:p>
      <w:pPr>
        <w:jc w:val="both"/>
      </w:pPr>
      <w:r>
        <w:rPr>
          <w:b/>
          <w:sz w:val="27"/>
        </w:rPr>
        <w:t>十一、</w:t>
      </w:r>
      <w:r>
        <w:rPr>
          <w:sz w:val="24"/>
        </w:rPr>
        <w:t xml:space="preserve"> </w:t>
      </w:r>
      <w:r>
        <w:rPr>
          <w:b/>
          <w:sz w:val="27"/>
        </w:rPr>
        <w:t>争议的解决</w:t>
      </w:r>
    </w:p>
    <w:p>
      <w:pPr>
        <w:jc w:val="left"/>
      </w:pPr>
      <w:r>
        <w:rPr>
          <w:sz w:val="27"/>
        </w:rPr>
        <w:t xml:space="preserve">  合同执行过程中发生的任何争议，如双方不能通过友好协商解决，按相关法律法规处理。</w:t>
      </w:r>
    </w:p>
    <w:p>
      <w:pPr>
        <w:jc w:val="both"/>
      </w:pPr>
      <w:r>
        <w:rPr>
          <w:b/>
          <w:sz w:val="27"/>
        </w:rPr>
        <w:t>十二、不可抗力</w:t>
      </w:r>
    </w:p>
    <w:p>
      <w:pPr>
        <w:jc w:val="both"/>
      </w:pPr>
      <w:r>
        <w:rPr>
          <w:sz w:val="27"/>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jc w:val="both"/>
      </w:pPr>
      <w:r>
        <w:rPr>
          <w:b/>
          <w:sz w:val="27"/>
        </w:rPr>
        <w:t>十三、税费</w:t>
      </w:r>
    </w:p>
    <w:p>
      <w:pPr>
        <w:jc w:val="both"/>
      </w:pPr>
      <w:r>
        <w:rPr>
          <w:sz w:val="27"/>
        </w:rPr>
        <w:t>1.在中国境内、外发生的与本合同执行有关的一切税费均由乙方负担。</w:t>
      </w:r>
    </w:p>
    <w:p>
      <w:pPr>
        <w:jc w:val="both"/>
      </w:pPr>
      <w:r>
        <w:rPr>
          <w:b/>
          <w:sz w:val="27"/>
        </w:rPr>
        <w:t>十四、</w:t>
      </w:r>
      <w:r>
        <w:rPr>
          <w:sz w:val="24"/>
        </w:rPr>
        <w:t xml:space="preserve"> </w:t>
      </w:r>
      <w:r>
        <w:rPr>
          <w:b/>
          <w:sz w:val="27"/>
        </w:rPr>
        <w:t>其它</w:t>
      </w:r>
    </w:p>
    <w:p>
      <w:pPr>
        <w:jc w:val="both"/>
      </w:pPr>
      <w:r>
        <w:rPr>
          <w:sz w:val="27"/>
        </w:rPr>
        <w:t>1.本合同所有附件、招标文件、投标文件、中标通知书均为合同的有效组成部分，与本合同具有同等法律效力。</w:t>
      </w:r>
    </w:p>
    <w:p>
      <w:pPr>
        <w:jc w:val="both"/>
      </w:pPr>
      <w:r>
        <w:rPr>
          <w:sz w:val="27"/>
        </w:rPr>
        <w:t>2.在执行本合同的过程中，所有经双方签署确认的文件（包括会议纪要、补充协议、往来信函）即成为本合同的有效组成部分。</w:t>
      </w:r>
    </w:p>
    <w:p>
      <w:pPr>
        <w:jc w:val="both"/>
      </w:pPr>
      <w:r>
        <w:rPr>
          <w:sz w:val="27"/>
        </w:rPr>
        <w:t>3.如一方地址、电话、传真号码有变更，应在变更当日内书面通知对方，否则，应承担相应责任。</w:t>
      </w:r>
    </w:p>
    <w:p>
      <w:pPr>
        <w:jc w:val="both"/>
      </w:pPr>
      <w:r>
        <w:rPr>
          <w:sz w:val="27"/>
        </w:rPr>
        <w:t>4.除甲方事先书面同意外，乙方不得部分或全部转让其应履行的合同项下的义务。</w:t>
      </w:r>
    </w:p>
    <w:p>
      <w:pPr>
        <w:jc w:val="both"/>
      </w:pPr>
      <w:r>
        <w:rPr>
          <w:b/>
          <w:sz w:val="27"/>
        </w:rPr>
        <w:t>十五、</w:t>
      </w:r>
      <w:r>
        <w:rPr>
          <w:sz w:val="24"/>
        </w:rPr>
        <w:t xml:space="preserve">     </w:t>
      </w:r>
      <w:r>
        <w:rPr>
          <w:b/>
          <w:sz w:val="27"/>
        </w:rPr>
        <w:t>合同生效</w:t>
      </w:r>
    </w:p>
    <w:p>
      <w:pPr>
        <w:jc w:val="both"/>
      </w:pPr>
      <w:r>
        <w:rPr>
          <w:sz w:val="27"/>
        </w:rPr>
        <w:t>1.本合同在甲乙双方法人代表或其授权代表签字盖章后生效。</w:t>
      </w:r>
    </w:p>
    <w:p>
      <w:pPr>
        <w:jc w:val="both"/>
      </w:pPr>
      <w:r>
        <w:rPr>
          <w:sz w:val="27"/>
        </w:rPr>
        <w:t>2.合同一式</w:t>
      </w:r>
      <w:r>
        <w:rPr>
          <w:sz w:val="24"/>
          <w:u w:val="single"/>
        </w:rPr>
        <w:t xml:space="preserve">   </w:t>
      </w:r>
      <w:r>
        <w:rPr>
          <w:sz w:val="27"/>
        </w:rPr>
        <w:t>份。</w:t>
      </w:r>
    </w:p>
    <w:p>
      <w:pPr>
        <w:jc w:val="both"/>
      </w:pPr>
      <w:r>
        <w:rPr>
          <w:sz w:val="24"/>
        </w:rPr>
        <w:t xml:space="preserve"> </w:t>
      </w:r>
    </w:p>
    <w:p>
      <w:pPr>
        <w:jc w:val="both"/>
      </w:pPr>
      <w:r>
        <w:rPr>
          <w:b/>
          <w:sz w:val="27"/>
        </w:rPr>
        <w:t>甲方（盖章）：乙方（盖章）：</w:t>
      </w:r>
    </w:p>
    <w:p>
      <w:pPr>
        <w:jc w:val="both"/>
      </w:pPr>
      <w:r>
        <w:rPr>
          <w:b/>
          <w:sz w:val="27"/>
        </w:rPr>
        <w:t>代表：代表：</w:t>
      </w:r>
    </w:p>
    <w:p>
      <w:pPr>
        <w:jc w:val="both"/>
      </w:pPr>
      <w:r>
        <w:rPr>
          <w:sz w:val="27"/>
        </w:rPr>
        <w:t>签定地点：</w:t>
      </w:r>
    </w:p>
    <w:p>
      <w:pPr>
        <w:jc w:val="both"/>
      </w:pPr>
      <w:r>
        <w:rPr>
          <w:sz w:val="27"/>
        </w:rPr>
        <w:t>签定日期：　　　年　　月　　日签定日期：　　　年　　月　　日</w:t>
      </w:r>
    </w:p>
    <w:p>
      <w:pPr>
        <w:jc w:val="both"/>
      </w:pPr>
      <w:r>
        <w:rPr>
          <w:sz w:val="27"/>
        </w:rPr>
        <w:t>开户名称：</w:t>
      </w:r>
    </w:p>
    <w:p>
      <w:pPr>
        <w:jc w:val="both"/>
      </w:pPr>
      <w:r>
        <w:rPr>
          <w:sz w:val="27"/>
        </w:rPr>
        <w:t>银行帐号：</w:t>
      </w:r>
    </w:p>
    <w:p>
      <w:pPr>
        <w:jc w:val="both"/>
      </w:pPr>
      <w:r>
        <w:rPr>
          <w:sz w:val="27"/>
        </w:rPr>
        <w:t>开户行：</w:t>
      </w:r>
    </w:p>
    <w:p>
      <w:pPr>
        <w:jc w:val="both"/>
      </w:pPr>
    </w:p>
    <w:p/>
    <w:p>
      <w:pPr>
        <w:ind w:firstLine="480"/>
      </w:pPr>
    </w:p>
    <w:p>
      <w:r>
        <w:t xml:space="preserve"> </w:t>
      </w:r>
    </w:p>
    <w:p/>
    <w:p>
      <w:pPr>
        <w:jc w:val="center"/>
      </w:pPr>
      <w:r>
        <w:rPr>
          <w:b/>
          <w:sz w:val="36"/>
        </w:rPr>
        <w:t>第六章 投标文件格式与要求</w:t>
      </w:r>
    </w:p>
    <w:p>
      <w:pPr>
        <w:ind w:firstLine="480"/>
      </w:pPr>
      <w:r>
        <w:t>投标人应提交证明其有资格参加投标和中标后有能力履行合同的相关文件，并作为其投标文件的一部分，所有文件必须真实可靠、不得伪造，否则将按相关规定予以处罚。</w:t>
      </w:r>
    </w:p>
    <w:p>
      <w:pPr>
        <w:ind w:firstLine="480"/>
      </w:pPr>
      <w:r>
        <w:t>1.法人或者其他组织的营业执照等证明文件，自然人的身份证明：</w:t>
      </w:r>
    </w:p>
    <w:p>
      <w:pPr>
        <w:ind w:firstLine="480"/>
      </w:pPr>
      <w: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ind w:firstLine="480"/>
      </w:pPr>
      <w: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pPr>
      <w:r>
        <w:t>2.财务状况报告，依法缴纳税收和社会保障资金的相关材料（详见资格性审查表要求）</w:t>
      </w:r>
    </w:p>
    <w:p>
      <w:pPr>
        <w:ind w:firstLine="480"/>
      </w:pPr>
      <w:r>
        <w:t>3.具有履行合同所必须的设备和专业技术能力的声明。</w:t>
      </w:r>
    </w:p>
    <w:p>
      <w:pPr>
        <w:ind w:firstLine="480"/>
      </w:pPr>
      <w:r>
        <w:t>4.投标人参加政府采购前三年内在经营活动中没有重大违法记录书面声明函。</w:t>
      </w:r>
    </w:p>
    <w:p>
      <w:pPr>
        <w:ind w:firstLine="480"/>
      </w:pPr>
      <w:r>
        <w:t>5.信用记录查询</w:t>
      </w:r>
    </w:p>
    <w:p>
      <w:pPr>
        <w:ind w:firstLine="480"/>
      </w:pPr>
      <w:r>
        <w:t>（1）查询渠道：通过“信用中国”网站(www.creditchina.gov.cn)和“中国政府采购网”（www.ccgp.gov.cn）进行查询；</w:t>
      </w:r>
    </w:p>
    <w:p>
      <w:pPr>
        <w:ind w:firstLine="480"/>
      </w:pPr>
      <w:r>
        <w:t>（2）查询截止时点：提交投标文件截止日当天；</w:t>
      </w:r>
    </w:p>
    <w:p>
      <w:pPr>
        <w:ind w:firstLine="480"/>
      </w:pPr>
      <w:r>
        <w:t>（3）查询记录：对列入失信被执行人、重大税收违法案件当事人名单、政府采购严重违法失信行为记录名单、信用报告进行查询；</w:t>
      </w:r>
    </w:p>
    <w:p>
      <w:pPr>
        <w:ind w:firstLine="480"/>
      </w:pPr>
      <w: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ind w:firstLine="480"/>
      </w:pPr>
      <w:r>
        <w:t>6. 按照招标文件要求，投标人应当提交的资格、资信证明文件。</w:t>
      </w:r>
    </w:p>
    <w:p>
      <w:pPr>
        <w:ind w:firstLine="480"/>
      </w:pPr>
    </w:p>
    <w:p>
      <w:r>
        <w:t xml:space="preserve"> </w:t>
      </w:r>
      <w:r>
        <w:br w:type="textWrapping"/>
      </w:r>
    </w:p>
    <w:p/>
    <w:p>
      <w:pPr>
        <w:jc w:val="center"/>
      </w:pPr>
      <w:r>
        <w:rPr>
          <w:b/>
          <w:sz w:val="48"/>
        </w:rPr>
        <w:t>投标文件封面</w:t>
      </w:r>
    </w:p>
    <w:p/>
    <w:p>
      <w:pPr>
        <w:jc w:val="center"/>
      </w:pPr>
      <w:r>
        <w:rPr>
          <w:b/>
          <w:sz w:val="48"/>
        </w:rPr>
        <w:t>（项目名称）</w:t>
      </w:r>
    </w:p>
    <w:p>
      <w:pPr>
        <w:jc w:val="center"/>
      </w:pPr>
      <w:r>
        <w:rPr>
          <w:b/>
          <w:sz w:val="48"/>
        </w:rPr>
        <w:t>投标文件封面</w:t>
      </w:r>
    </w:p>
    <w:p>
      <w:pPr>
        <w:jc w:val="center"/>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jc w:val="center"/>
      </w:pPr>
      <w:r>
        <w:rPr>
          <w:b/>
          <w:sz w:val="24"/>
        </w:rPr>
        <w:t>采购计划编号：445301-2022-01159</w:t>
      </w:r>
    </w:p>
    <w:p>
      <w:pPr>
        <w:jc w:val="center"/>
      </w:pPr>
      <w:r>
        <w:rPr>
          <w:b/>
          <w:sz w:val="24"/>
        </w:rPr>
        <w:t>采购项目编号：GDXJ2022HGK3028</w:t>
      </w:r>
    </w:p>
    <w:p>
      <w:pPr>
        <w:jc w:val="center"/>
      </w:pPr>
      <w:r>
        <w:rPr>
          <w:b/>
          <w:sz w:val="24"/>
        </w:rPr>
        <w:t>所投采购包：第 包</w:t>
      </w:r>
    </w:p>
    <w:p/>
    <w:p>
      <w:pPr>
        <w:jc w:val="center"/>
      </w:pPr>
      <w:r>
        <w:rPr>
          <w:b/>
          <w:sz w:val="24"/>
        </w:rPr>
        <w:t>（投标人名称）</w:t>
      </w:r>
    </w:p>
    <w:p>
      <w:pPr>
        <w:jc w:val="center"/>
      </w:pPr>
      <w:r>
        <w:rPr>
          <w:b/>
          <w:sz w:val="24"/>
        </w:rPr>
        <w:t>年 月 日</w:t>
      </w:r>
    </w:p>
    <w:p>
      <w:pPr>
        <w:ind w:firstLine="480"/>
      </w:pPr>
    </w:p>
    <w:p>
      <w:r>
        <w:t xml:space="preserve"> </w:t>
      </w:r>
    </w:p>
    <w:p/>
    <w:p>
      <w:pPr>
        <w:jc w:val="center"/>
      </w:pPr>
      <w:r>
        <w:rPr>
          <w:b/>
          <w:sz w:val="24"/>
        </w:rPr>
        <w:t>投标文件目录</w:t>
      </w:r>
    </w:p>
    <w:p>
      <w:pPr>
        <w:ind w:firstLine="480"/>
      </w:pPr>
      <w:r>
        <w:t>一、投标函</w:t>
      </w:r>
    </w:p>
    <w:p>
      <w:pPr>
        <w:ind w:firstLine="480"/>
      </w:pPr>
      <w:r>
        <w:t>二、开标一览表</w:t>
      </w:r>
    </w:p>
    <w:p>
      <w:pPr>
        <w:ind w:firstLine="480"/>
      </w:pPr>
      <w:r>
        <w:t>三、分项报价表</w:t>
      </w:r>
    </w:p>
    <w:p>
      <w:pPr>
        <w:ind w:firstLine="480"/>
      </w:pPr>
      <w:r>
        <w:t>四、政策适用性说明</w:t>
      </w:r>
    </w:p>
    <w:p>
      <w:pPr>
        <w:ind w:firstLine="480"/>
      </w:pPr>
      <w:r>
        <w:t>五、法定代表人证明书</w:t>
      </w:r>
    </w:p>
    <w:p>
      <w:pPr>
        <w:ind w:firstLine="480"/>
      </w:pPr>
      <w:r>
        <w:t>六、法定代表人授权书</w:t>
      </w:r>
    </w:p>
    <w:p>
      <w:pPr>
        <w:ind w:firstLine="480"/>
      </w:pPr>
      <w:r>
        <w:t>七、投标保证金</w:t>
      </w:r>
    </w:p>
    <w:p>
      <w:pPr>
        <w:ind w:firstLine="480"/>
      </w:pPr>
      <w:r>
        <w:t>八、提供具有独立承担民事责任的能力的证明材料</w:t>
      </w:r>
    </w:p>
    <w:p>
      <w:pPr>
        <w:ind w:firstLine="480"/>
      </w:pPr>
      <w:r>
        <w:t>九、资格性审查要求的其他资质证明文件</w:t>
      </w:r>
    </w:p>
    <w:p>
      <w:pPr>
        <w:ind w:firstLine="480"/>
      </w:pPr>
      <w:r>
        <w:t>十、承诺函</w:t>
      </w:r>
    </w:p>
    <w:p>
      <w:pPr>
        <w:ind w:firstLine="480"/>
      </w:pPr>
      <w:r>
        <w:t>十一、中小企业声明函</w:t>
      </w:r>
    </w:p>
    <w:p>
      <w:pPr>
        <w:ind w:firstLine="480"/>
      </w:pPr>
      <w:r>
        <w:t>十二、监狱企业</w:t>
      </w:r>
    </w:p>
    <w:p>
      <w:pPr>
        <w:ind w:firstLine="480"/>
      </w:pPr>
      <w:r>
        <w:t>十三、残疾人福利性单位声明函</w:t>
      </w:r>
    </w:p>
    <w:p>
      <w:pPr>
        <w:ind w:firstLine="480"/>
      </w:pPr>
      <w:r>
        <w:t>十四、联合体共同投标协议书</w:t>
      </w:r>
    </w:p>
    <w:p>
      <w:pPr>
        <w:ind w:firstLine="480"/>
      </w:pPr>
      <w:r>
        <w:t>十五、投标人业绩情况表</w:t>
      </w:r>
    </w:p>
    <w:p>
      <w:pPr>
        <w:ind w:firstLine="480"/>
      </w:pPr>
      <w:r>
        <w:t>十六、技术和服务要求响应表</w:t>
      </w:r>
    </w:p>
    <w:p>
      <w:pPr>
        <w:ind w:firstLine="480"/>
      </w:pPr>
      <w:r>
        <w:t>十七、商务条件响应表</w:t>
      </w:r>
    </w:p>
    <w:p>
      <w:pPr>
        <w:ind w:firstLine="480"/>
      </w:pPr>
      <w:r>
        <w:t>十八、履约进度计划表</w:t>
      </w:r>
    </w:p>
    <w:p>
      <w:pPr>
        <w:ind w:firstLine="480"/>
      </w:pPr>
      <w:r>
        <w:t>十九、各类证明材料</w:t>
      </w:r>
    </w:p>
    <w:p>
      <w:pPr>
        <w:ind w:firstLine="480"/>
      </w:pPr>
      <w:r>
        <w:t>二十、采购代理服务费支付承诺书</w:t>
      </w:r>
    </w:p>
    <w:p>
      <w:pPr>
        <w:ind w:firstLine="480"/>
      </w:pPr>
      <w:r>
        <w:t>二十一、需要采购人提供的附加条件</w:t>
      </w:r>
    </w:p>
    <w:p>
      <w:pPr>
        <w:ind w:firstLine="480"/>
      </w:pPr>
      <w:r>
        <w:t>二十二、询问函、质疑函、投诉书格式</w:t>
      </w:r>
    </w:p>
    <w:p>
      <w:pPr>
        <w:ind w:firstLine="480"/>
      </w:pPr>
      <w:r>
        <w:t>二十三、项目实施方案、质量保证及售后服务承诺等</w:t>
      </w:r>
    </w:p>
    <w:p>
      <w:pPr>
        <w:ind w:firstLine="480"/>
      </w:pPr>
      <w:r>
        <w:t>二十四、附件</w:t>
      </w:r>
    </w:p>
    <w:p>
      <w:pPr>
        <w:ind w:firstLine="480"/>
      </w:pPr>
    </w:p>
    <w:p>
      <w:r>
        <w:t xml:space="preserve"> </w:t>
      </w:r>
    </w:p>
    <w:p/>
    <w:p>
      <w:r>
        <w:rPr>
          <w:b/>
          <w:sz w:val="28"/>
        </w:rPr>
        <w:t>格式一：</w:t>
      </w:r>
    </w:p>
    <w:p>
      <w:r>
        <w:rPr>
          <w:b/>
          <w:sz w:val="24"/>
        </w:rPr>
        <w:t>投标函</w:t>
      </w:r>
    </w:p>
    <w:p>
      <w:pPr>
        <w:ind w:firstLine="480"/>
      </w:pPr>
      <w:r>
        <w:t>致：</w:t>
      </w:r>
      <w:r>
        <w:rPr>
          <w:u w:val="single"/>
        </w:rPr>
        <w:t>广东晓君项目管理有限公司</w:t>
      </w:r>
    </w:p>
    <w:p>
      <w:pPr>
        <w:ind w:firstLine="480"/>
      </w:pPr>
      <w:r>
        <w:t>你方组织的</w:t>
      </w:r>
      <w:r>
        <w:rPr>
          <w:u w:val="single"/>
        </w:rPr>
        <w:t>云浮技师学院氢能汽车专业实训设备</w:t>
      </w:r>
      <w:r>
        <w:t>项目的招标[采购项目编号为：</w:t>
      </w:r>
      <w:r>
        <w:rPr>
          <w:u w:val="single"/>
        </w:rPr>
        <w:t>GDXJ2022HGK3028</w:t>
      </w:r>
      <w:r>
        <w:t>]，我方愿参与投标。</w:t>
      </w:r>
    </w:p>
    <w:p>
      <w:pPr>
        <w:ind w:firstLine="480"/>
      </w:pPr>
      <w:r>
        <w:t>我方确认收到贵方提供的</w:t>
      </w:r>
      <w:r>
        <w:rPr>
          <w:u w:val="single"/>
        </w:rPr>
        <w:t>云浮技师学院氢能汽车专业实训设备</w:t>
      </w:r>
      <w:r>
        <w:t>项目的招标文件的全部内容。</w:t>
      </w:r>
    </w:p>
    <w:p>
      <w:pPr>
        <w:ind w:firstLine="480"/>
      </w:pPr>
      <w: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ind w:firstLine="480"/>
      </w:pPr>
      <w:r>
        <w:rPr>
          <w:u w:val="single"/>
        </w:rPr>
        <w:t>(投标人名称)</w:t>
      </w:r>
      <w:r>
        <w:t>作为投标人正式授权</w:t>
      </w:r>
      <w:r>
        <w:rPr>
          <w:u w:val="single"/>
        </w:rPr>
        <w:t>(授权代表全名,职务)</w:t>
      </w:r>
      <w:r>
        <w:t>代表我方全权处理有关本投标的一切事宜。</w:t>
      </w:r>
    </w:p>
    <w:p>
      <w:pPr>
        <w:ind w:firstLine="480"/>
      </w:pPr>
      <w:r>
        <w:t>我方已完全明白招标文件的所有条款要求，并申明如下：</w:t>
      </w:r>
    </w:p>
    <w:p>
      <w:pPr>
        <w:ind w:firstLine="480"/>
      </w:pPr>
      <w:r>
        <w:t>（一）按招标文件提供的全部货物与相关服务的投标总价详见《开标一览表》。</w:t>
      </w:r>
    </w:p>
    <w:p>
      <w:pPr>
        <w:ind w:firstLine="480"/>
      </w:pPr>
      <w: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ind w:firstLine="480"/>
      </w:pPr>
      <w:r>
        <w:t>（三）我方明白并同意，在规定的开标日之后，投标有效期之内撤回投标或中标后不按规定与采购人签订合同或不提交履约保证金, 则贵方将不予退还投标保证金。</w:t>
      </w:r>
    </w:p>
    <w:p>
      <w:pPr>
        <w:ind w:firstLine="480"/>
      </w:pPr>
      <w:r>
        <w:t>（四）我方愿意向贵方提供任何与本项报价有关的数据、情况和技术资料。若贵方需要，我方愿意提供我方作出的一切承诺的证明材料。</w:t>
      </w:r>
    </w:p>
    <w:p>
      <w:pPr>
        <w:ind w:firstLine="480"/>
      </w:pPr>
      <w:r>
        <w:t>（五）我方理解贵方不一定接受最低投标价或任何贵方可能收到的投标。</w:t>
      </w:r>
    </w:p>
    <w:p>
      <w:pPr>
        <w:ind w:firstLine="480"/>
      </w:pPr>
      <w:r>
        <w:t>（六）我方如果中标，将保证履行招标文件及其澄清、修改文件（如果有）中的全部责任和义务，按质、按量、按期完成《采购需求》及《合同书》中的全部任务。</w:t>
      </w:r>
    </w:p>
    <w:p>
      <w:pPr>
        <w:ind w:firstLine="480"/>
      </w:pPr>
      <w:r>
        <w:t>（七）我方作为法律、财务和运作上独立于采购人、采购代理机构的投标人，在此保证所提交的所有文件和全部说明是真实的和正确的。</w:t>
      </w:r>
    </w:p>
    <w:p>
      <w:pPr>
        <w:ind w:firstLine="480"/>
      </w:pPr>
      <w:r>
        <w:t>（八）我方投标报价已包含应向知识产权所有权人支付的所有相关税费，并保证采购人在中国使用我方提供的货物时，如有第三方提出侵犯其知识产权主张的，责任由我方承担。</w:t>
      </w:r>
    </w:p>
    <w:p>
      <w:pPr>
        <w:ind w:firstLine="480"/>
      </w:pPr>
      <w:r>
        <w:t>（九）我方接受采购人委托向贵方支付代理服务费，项目总报价已包含代理服务费，如果被确定为中标供应商，承诺向贵方足额支付。（若采购人支付代理服务费，则此条不适用）</w:t>
      </w:r>
    </w:p>
    <w:p>
      <w:pPr>
        <w:ind w:firstLine="480"/>
      </w:pPr>
      <w:r>
        <w:t>（十）我方与其他投标人不存在单位负责人为同一人或者存在直接控股、管理关系。</w:t>
      </w:r>
    </w:p>
    <w:p>
      <w:pPr>
        <w:ind w:firstLine="480"/>
      </w:pPr>
      <w:r>
        <w:t>（十一）我方承诺未为本项目提供整体设计、规范编制或者项目管理、监理、检测等服务。</w:t>
      </w:r>
    </w:p>
    <w:p>
      <w:pPr>
        <w:ind w:firstLine="480"/>
      </w:pPr>
      <w:r>
        <w:t>（十二）我方未被列入法院失信被执行人名单中。</w:t>
      </w:r>
    </w:p>
    <w:p>
      <w:pPr>
        <w:ind w:firstLine="480"/>
      </w:pPr>
      <w:r>
        <w:t>（十三）我方具备《中华人民共和国政府采购法》第二十二条规定的条件，承诺如下：</w:t>
      </w:r>
    </w:p>
    <w:p>
      <w:pPr>
        <w:ind w:firstLine="480"/>
      </w:pPr>
      <w: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pPr>
      <w:r>
        <w:t>（2）我方符合法律、行政法规规定的其他条件。</w:t>
      </w:r>
    </w:p>
    <w:p>
      <w:pPr>
        <w:ind w:firstLine="480"/>
      </w:pPr>
      <w:r>
        <w:t>以上内容如有虚假或与事实不符的，评标委员会可将我方做无效投标处理，我方愿意承担相应的法律责任。</w:t>
      </w:r>
    </w:p>
    <w:p>
      <w:pPr>
        <w:ind w:firstLine="480"/>
      </w:pPr>
      <w:r>
        <w:t>（十四）我方对在本函及投标文件中所作的所有承诺承担法律责任。</w:t>
      </w:r>
    </w:p>
    <w:p>
      <w:pPr>
        <w:ind w:firstLine="480"/>
      </w:pPr>
      <w:r>
        <w:t>（十五）所有与本招标有关的函件请发往下列地址：</w:t>
      </w:r>
    </w:p>
    <w:p>
      <w:pPr>
        <w:ind w:firstLine="480"/>
      </w:pPr>
      <w:r>
        <w:t>地 址：__________________邮政编码：__________________</w:t>
      </w:r>
    </w:p>
    <w:p>
      <w:pPr>
        <w:ind w:firstLine="480"/>
      </w:pPr>
      <w:r>
        <w:t>电 话：__________________</w:t>
      </w:r>
    </w:p>
    <w:p>
      <w:pPr>
        <w:ind w:firstLine="480"/>
      </w:pPr>
      <w:r>
        <w:t>传 真：__________________</w:t>
      </w:r>
    </w:p>
    <w:p>
      <w:pPr>
        <w:ind w:firstLine="480"/>
      </w:pPr>
      <w:r>
        <w:t>代表姓名：__________________职 务：__________________</w:t>
      </w:r>
    </w:p>
    <w:p>
      <w:pPr>
        <w:ind w:firstLine="480"/>
      </w:pPr>
    </w:p>
    <w:p>
      <w:pPr>
        <w:ind w:firstLine="480"/>
      </w:pPr>
    </w:p>
    <w:p>
      <w:pPr>
        <w:ind w:firstLine="480"/>
      </w:pPr>
    </w:p>
    <w:p>
      <w:pPr>
        <w:ind w:firstLine="480"/>
      </w:pPr>
    </w:p>
    <w:p>
      <w:r>
        <w:t>投标人法定代表人（或法定代表人授权代表）签字或盖章：__________________</w:t>
      </w:r>
    </w:p>
    <w:p>
      <w:r>
        <w:t>投标人名称（盖章）：__________________</w:t>
      </w:r>
    </w:p>
    <w:p>
      <w:r>
        <w:t>日期： 年 月 日</w:t>
      </w:r>
    </w:p>
    <w:p>
      <w:pPr>
        <w:ind w:firstLine="480"/>
      </w:pPr>
    </w:p>
    <w:p>
      <w:r>
        <w:t xml:space="preserve"> </w:t>
      </w:r>
    </w:p>
    <w:p/>
    <w:p>
      <w:r>
        <w:rPr>
          <w:b/>
          <w:sz w:val="28"/>
        </w:rPr>
        <w:t>格式二：</w:t>
      </w:r>
    </w:p>
    <w:p>
      <w:pPr>
        <w:jc w:val="center"/>
      </w:pPr>
      <w:r>
        <w:rPr>
          <w:b/>
          <w:sz w:val="24"/>
        </w:rPr>
        <w:t>开标一览表</w:t>
      </w:r>
    </w:p>
    <w:p>
      <w:pPr>
        <w:ind w:firstLine="480"/>
      </w:pPr>
      <w: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pPr>
        <w:ind w:firstLine="480"/>
      </w:pPr>
      <w:r>
        <w:t>采购项目编号：</w:t>
      </w:r>
    </w:p>
    <w:p>
      <w:pPr>
        <w:ind w:firstLine="480"/>
      </w:pPr>
      <w:r>
        <w:t>项目名称：</w:t>
      </w:r>
    </w:p>
    <w:p>
      <w:pPr>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r>
              <w:t>序号</w:t>
            </w:r>
          </w:p>
        </w:tc>
        <w:tc>
          <w:tcPr>
            <w:tcW w:w="1661" w:type="dxa"/>
          </w:tcPr>
          <w:p>
            <w:r>
              <w:t>采购项目名称/采购包名称</w:t>
            </w:r>
          </w:p>
        </w:tc>
        <w:tc>
          <w:tcPr>
            <w:tcW w:w="1661" w:type="dxa"/>
          </w:tcPr>
          <w:p>
            <w:r>
              <w:t>投标报价（元/%）</w:t>
            </w:r>
          </w:p>
        </w:tc>
        <w:tc>
          <w:tcPr>
            <w:tcW w:w="1661" w:type="dxa"/>
          </w:tcPr>
          <w:p>
            <w:r>
              <w:t>交货或服务期</w:t>
            </w:r>
          </w:p>
        </w:tc>
        <w:tc>
          <w:tcPr>
            <w:tcW w:w="1661" w:type="dxa"/>
          </w:tcPr>
          <w:p>
            <w: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r>
              <w:t>1</w:t>
            </w:r>
          </w:p>
        </w:tc>
        <w:tc>
          <w:tcPr>
            <w:tcW w:w="1661" w:type="dxa"/>
          </w:tcPr>
          <w:p/>
        </w:tc>
        <w:tc>
          <w:tcPr>
            <w:tcW w:w="1661" w:type="dxa"/>
          </w:tcPr>
          <w:p/>
        </w:tc>
        <w:tc>
          <w:tcPr>
            <w:tcW w:w="1661" w:type="dxa"/>
          </w:tcPr>
          <w:p/>
        </w:tc>
        <w:tc>
          <w:tcPr>
            <w:tcW w:w="1661" w:type="dxa"/>
          </w:tcPr>
          <w:p/>
        </w:tc>
      </w:tr>
    </w:tbl>
    <w:p>
      <w:r>
        <w:t>投标人签章：__________________</w:t>
      </w:r>
    </w:p>
    <w:p>
      <w:r>
        <w:t>日期： 年 月 日</w:t>
      </w:r>
    </w:p>
    <w:p>
      <w:pPr>
        <w:ind w:firstLine="480"/>
      </w:pPr>
    </w:p>
    <w:p>
      <w:r>
        <w:t xml:space="preserve"> </w:t>
      </w:r>
    </w:p>
    <w:p/>
    <w:p>
      <w:r>
        <w:rPr>
          <w:b/>
          <w:sz w:val="28"/>
        </w:rPr>
        <w:t>格式三：</w:t>
      </w:r>
    </w:p>
    <w:p>
      <w:pPr>
        <w:jc w:val="center"/>
      </w:pPr>
      <w:r>
        <w:rPr>
          <w:b/>
          <w:sz w:val="24"/>
        </w:rPr>
        <w:t>分项报价表</w:t>
      </w:r>
    </w:p>
    <w:p>
      <w:pPr>
        <w:ind w:firstLine="480"/>
      </w:pPr>
      <w: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pPr>
        <w:ind w:firstLine="480"/>
      </w:pPr>
      <w:r>
        <w:t>采购项目编号：</w:t>
      </w:r>
    </w:p>
    <w:p>
      <w:pPr>
        <w:ind w:firstLine="480"/>
      </w:pPr>
      <w:r>
        <w:t>项目名称：</w:t>
      </w:r>
    </w:p>
    <w:p>
      <w:pPr>
        <w:ind w:firstLine="480"/>
      </w:pPr>
      <w:r>
        <w:t>投标人名称：</w:t>
      </w:r>
    </w:p>
    <w:p>
      <w:pPr>
        <w:ind w:firstLine="480"/>
      </w:pPr>
      <w:r>
        <w:t>采购包：</w:t>
      </w:r>
    </w:p>
    <w:p>
      <w:r>
        <w:t>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t>品目号</w:t>
            </w:r>
          </w:p>
        </w:tc>
        <w:tc>
          <w:tcPr>
            <w:tcW w:w="831" w:type="dxa"/>
          </w:tcPr>
          <w:p>
            <w:r>
              <w:t>序号</w:t>
            </w:r>
          </w:p>
        </w:tc>
        <w:tc>
          <w:tcPr>
            <w:tcW w:w="831" w:type="dxa"/>
          </w:tcPr>
          <w:p>
            <w:r>
              <w:t>货物名称</w:t>
            </w:r>
          </w:p>
        </w:tc>
        <w:tc>
          <w:tcPr>
            <w:tcW w:w="831" w:type="dxa"/>
          </w:tcPr>
          <w:p>
            <w:r>
              <w:t>规格型号</w:t>
            </w:r>
          </w:p>
        </w:tc>
        <w:tc>
          <w:tcPr>
            <w:tcW w:w="831" w:type="dxa"/>
          </w:tcPr>
          <w:p>
            <w:r>
              <w:t>品牌</w:t>
            </w:r>
          </w:p>
        </w:tc>
        <w:tc>
          <w:tcPr>
            <w:tcW w:w="831" w:type="dxa"/>
          </w:tcPr>
          <w:p>
            <w:r>
              <w:t>产地</w:t>
            </w:r>
          </w:p>
        </w:tc>
        <w:tc>
          <w:tcPr>
            <w:tcW w:w="831" w:type="dxa"/>
          </w:tcPr>
          <w:p>
            <w:r>
              <w:t>制造商名称</w:t>
            </w:r>
          </w:p>
        </w:tc>
        <w:tc>
          <w:tcPr>
            <w:tcW w:w="831" w:type="dxa"/>
          </w:tcPr>
          <w:p>
            <w:r>
              <w:t>单价</w:t>
            </w:r>
          </w:p>
        </w:tc>
        <w:tc>
          <w:tcPr>
            <w:tcW w:w="831" w:type="dxa"/>
          </w:tcPr>
          <w:p>
            <w:r>
              <w:t>数量</w:t>
            </w:r>
          </w:p>
        </w:tc>
        <w:tc>
          <w:tcPr>
            <w:tcW w:w="831" w:type="dxa"/>
          </w:tcPr>
          <w:p>
            <w: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t>品目号</w:t>
            </w:r>
          </w:p>
        </w:tc>
        <w:tc>
          <w:tcPr>
            <w:tcW w:w="831" w:type="dxa"/>
          </w:tcPr>
          <w:p>
            <w:r>
              <w:t>序号</w:t>
            </w:r>
          </w:p>
        </w:tc>
        <w:tc>
          <w:tcPr>
            <w:tcW w:w="831" w:type="dxa"/>
          </w:tcPr>
          <w:p>
            <w:r>
              <w:t>服务名称</w:t>
            </w:r>
          </w:p>
        </w:tc>
        <w:tc>
          <w:tcPr>
            <w:tcW w:w="831" w:type="dxa"/>
          </w:tcPr>
          <w:p>
            <w:r>
              <w:t>服务范围</w:t>
            </w:r>
          </w:p>
        </w:tc>
        <w:tc>
          <w:tcPr>
            <w:tcW w:w="831" w:type="dxa"/>
          </w:tcPr>
          <w:p>
            <w:r>
              <w:t>服务要求</w:t>
            </w:r>
          </w:p>
        </w:tc>
        <w:tc>
          <w:tcPr>
            <w:tcW w:w="831" w:type="dxa"/>
          </w:tcPr>
          <w:p>
            <w:r>
              <w:t>服务期限</w:t>
            </w:r>
          </w:p>
        </w:tc>
        <w:tc>
          <w:tcPr>
            <w:tcW w:w="831" w:type="dxa"/>
          </w:tcPr>
          <w:p>
            <w:r>
              <w:t>服务标准</w:t>
            </w:r>
          </w:p>
        </w:tc>
        <w:tc>
          <w:tcPr>
            <w:tcW w:w="831" w:type="dxa"/>
          </w:tcPr>
          <w:p>
            <w:r>
              <w:t>单价</w:t>
            </w:r>
          </w:p>
        </w:tc>
        <w:tc>
          <w:tcPr>
            <w:tcW w:w="831" w:type="dxa"/>
          </w:tcPr>
          <w:p>
            <w:r>
              <w:t>数量</w:t>
            </w:r>
          </w:p>
        </w:tc>
        <w:tc>
          <w:tcPr>
            <w:tcW w:w="831" w:type="dxa"/>
          </w:tcPr>
          <w:p>
            <w: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r>
        <w:t>投标人签章：__________________</w:t>
      </w:r>
    </w:p>
    <w:p>
      <w:r>
        <w:t>日期： 年 月 日</w:t>
      </w:r>
    </w:p>
    <w:p>
      <w:pPr>
        <w:ind w:firstLine="480"/>
      </w:pPr>
    </w:p>
    <w:p>
      <w:r>
        <w:t xml:space="preserve"> </w:t>
      </w:r>
    </w:p>
    <w:p/>
    <w:p>
      <w:r>
        <w:rPr>
          <w:b/>
          <w:sz w:val="28"/>
        </w:rPr>
        <w:t>格式四：</w:t>
      </w:r>
    </w:p>
    <w:p>
      <w:pPr>
        <w:jc w:val="center"/>
      </w:pPr>
      <w:r>
        <w:rPr>
          <w:b/>
          <w:sz w:val="24"/>
        </w:rPr>
        <w:t>政策适用性说明</w:t>
      </w:r>
    </w:p>
    <w:p>
      <w:pPr>
        <w:ind w:firstLine="480"/>
      </w:pPr>
      <w:r>
        <w:t>按照政府采购有关政策的要求，在本次的技术方案中，采用符合政策的小型或微型企业产品、节能产品、环保标志产品，主要产品与核心技术介绍说明如下：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r>
              <w:t>序号</w:t>
            </w:r>
          </w:p>
        </w:tc>
        <w:tc>
          <w:tcPr>
            <w:tcW w:w="1038" w:type="dxa"/>
          </w:tcPr>
          <w:p>
            <w:r>
              <w:t>主要产品/技术名称（规格型号、注册商标）</w:t>
            </w:r>
          </w:p>
        </w:tc>
        <w:tc>
          <w:tcPr>
            <w:tcW w:w="1038" w:type="dxa"/>
          </w:tcPr>
          <w:p>
            <w:r>
              <w:t>制造商(开发商)</w:t>
            </w:r>
          </w:p>
        </w:tc>
        <w:tc>
          <w:tcPr>
            <w:tcW w:w="1038" w:type="dxa"/>
          </w:tcPr>
          <w:p>
            <w:r>
              <w:t>制造商企业类型</w:t>
            </w:r>
          </w:p>
        </w:tc>
        <w:tc>
          <w:tcPr>
            <w:tcW w:w="1038" w:type="dxa"/>
          </w:tcPr>
          <w:p>
            <w:r>
              <w:t>节能产品</w:t>
            </w:r>
          </w:p>
        </w:tc>
        <w:tc>
          <w:tcPr>
            <w:tcW w:w="1038" w:type="dxa"/>
          </w:tcPr>
          <w:p>
            <w:r>
              <w:t>环保标志产品</w:t>
            </w:r>
          </w:p>
        </w:tc>
        <w:tc>
          <w:tcPr>
            <w:tcW w:w="1038" w:type="dxa"/>
          </w:tcPr>
          <w:p>
            <w:r>
              <w:t>认证证书编号</w:t>
            </w:r>
          </w:p>
        </w:tc>
        <w:tc>
          <w:tcPr>
            <w:tcW w:w="1038" w:type="dxa"/>
          </w:tcPr>
          <w:p>
            <w:r>
              <w:t>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r>
              <w:t>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r>
              <w:t>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r>
              <w:t>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r>
              <w:t>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r>
              <w:t>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r>
              <w:t>...</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ind w:firstLine="480"/>
      </w:pPr>
      <w:r>
        <w:t>注：1.制造商为小型或微型企业时才需要填“制造商企业类型”栏,填写内容为“小型”或“微型”；</w:t>
      </w:r>
    </w:p>
    <w:p>
      <w:pPr>
        <w:ind w:firstLine="480"/>
      </w:pPr>
      <w:r>
        <w:t>2.“节能产品、环保标志产品”须填写认证证书编号，并在对应“节能产品”、“环保标志产品”栏中勾选，同时提供有效期内的证书复印件（加盖投标人公章）</w:t>
      </w:r>
    </w:p>
    <w:p>
      <w:r>
        <w:t xml:space="preserve"> 投标人名称（盖章）：__________________</w:t>
      </w:r>
    </w:p>
    <w:p>
      <w:r>
        <w:t>日期： 年 月 日</w:t>
      </w:r>
    </w:p>
    <w:p>
      <w:pPr>
        <w:ind w:firstLine="480"/>
      </w:pPr>
    </w:p>
    <w:p>
      <w:r>
        <w:t xml:space="preserve"> </w:t>
      </w:r>
    </w:p>
    <w:p/>
    <w:p>
      <w:r>
        <w:rPr>
          <w:b/>
          <w:sz w:val="28"/>
        </w:rPr>
        <w:t>格式五：</w:t>
      </w:r>
    </w:p>
    <w:p>
      <w:pPr>
        <w:ind w:firstLine="480"/>
      </w:pPr>
      <w:r>
        <w:t>（投标人可使用下述格式，也可使用广东省工商行政管理局统一印制的法定代表人证明书格式）</w:t>
      </w:r>
    </w:p>
    <w:p>
      <w:pPr>
        <w:jc w:val="center"/>
      </w:pPr>
      <w:r>
        <w:rPr>
          <w:b/>
          <w:sz w:val="24"/>
        </w:rPr>
        <w:t>法定代表人证明书</w:t>
      </w:r>
    </w:p>
    <w:p>
      <w:pPr>
        <w:ind w:firstLine="480"/>
      </w:pPr>
      <w:r>
        <w:t>_____________现任我单位_____________职务，为法定代表人，特此证明。</w:t>
      </w:r>
    </w:p>
    <w:p>
      <w:pPr>
        <w:ind w:firstLine="480"/>
      </w:pPr>
      <w:r>
        <w:t>有效期限：__________________</w:t>
      </w:r>
    </w:p>
    <w:p>
      <w:pPr>
        <w:ind w:firstLine="480"/>
      </w:pPr>
      <w:r>
        <w:t>附：代表人性别：_____年龄：_________ 身份证号码：__________________</w:t>
      </w:r>
    </w:p>
    <w:p>
      <w:pPr>
        <w:ind w:firstLine="480"/>
      </w:pPr>
      <w:r>
        <w:t>注册号码：____________________企业类型：____________________________</w:t>
      </w:r>
    </w:p>
    <w:p>
      <w:pPr>
        <w:ind w:firstLine="480"/>
      </w:pPr>
      <w:r>
        <w:t>经营范围：__________________________</w:t>
      </w:r>
    </w:p>
    <w:p>
      <w:pPr>
        <w:ind w:firstLine="480"/>
      </w:pPr>
    </w:p>
    <w:p>
      <w:pPr>
        <w:ind w:firstLine="480"/>
      </w:pPr>
    </w:p>
    <w:p>
      <w:r>
        <w:t xml:space="preserve"> 投标人名称（盖章）：__________________</w:t>
      </w:r>
    </w:p>
    <w:p>
      <w:r>
        <w:t xml:space="preserve"> 地址：__________________</w:t>
      </w:r>
    </w:p>
    <w:p>
      <w:r>
        <w:t xml:space="preserve"> 法定代表人（签字或盖章）：__________________</w:t>
      </w:r>
    </w:p>
    <w:p>
      <w:r>
        <w:t xml:space="preserve"> 职务：__________________</w:t>
      </w:r>
    </w:p>
    <w:p>
      <w:r>
        <w:t>日期： 年 月 日</w:t>
      </w:r>
    </w:p>
    <w:p>
      <w:pPr>
        <w:ind w:firstLine="480"/>
      </w:pPr>
    </w:p>
    <w:p>
      <w:r>
        <w:t xml:space="preserve"> </w:t>
      </w:r>
    </w:p>
    <w:p/>
    <w:p>
      <w:r>
        <w:rPr>
          <w:b/>
          <w:sz w:val="28"/>
        </w:rPr>
        <w:t>格式六：</w:t>
      </w:r>
    </w:p>
    <w:p>
      <w:pPr>
        <w:jc w:val="center"/>
      </w:pPr>
      <w:r>
        <w:rPr>
          <w:b/>
          <w:sz w:val="24"/>
        </w:rPr>
        <w:t>法定代表人授权书格式</w:t>
      </w:r>
    </w:p>
    <w:p>
      <w:pPr>
        <w:ind w:firstLine="480"/>
      </w:pPr>
      <w:r>
        <w:t>（对于银行、保险、电信、邮政、铁路等行业以及获得总公司投标授权的分公司，可以提供投标分支机构负责人授权书）</w:t>
      </w:r>
    </w:p>
    <w:p>
      <w:pPr>
        <w:jc w:val="center"/>
      </w:pPr>
      <w:r>
        <w:rPr>
          <w:b/>
          <w:sz w:val="24"/>
        </w:rPr>
        <w:t>法定代表人授权书</w:t>
      </w:r>
    </w:p>
    <w:p>
      <w:pPr>
        <w:ind w:firstLine="480"/>
      </w:pPr>
      <w:r>
        <w:t>致：广东晓君项目管理有限公司</w:t>
      </w:r>
    </w:p>
    <w:p>
      <w:pPr>
        <w:ind w:firstLine="480"/>
      </w:pPr>
      <w:r>
        <w:t>本授权书声明：________是注册于</w:t>
      </w:r>
      <w:r>
        <w:rPr>
          <w:u w:val="single"/>
        </w:rPr>
        <w:t>（国家或地区）</w:t>
      </w:r>
      <w:r>
        <w:t>的</w:t>
      </w:r>
      <w:r>
        <w:rPr>
          <w:u w:val="single"/>
        </w:rPr>
        <w:t>（投标人名称）</w:t>
      </w:r>
      <w:r>
        <w:t>的法定代表人，现任________职务，有效证件号码：________________。现授权</w:t>
      </w:r>
      <w:r>
        <w:rPr>
          <w:u w:val="single"/>
        </w:rPr>
        <w:t>（姓名、职务）</w:t>
      </w:r>
      <w:r>
        <w:t>作为我公司的全权代理人，就云浮技师学院氢能汽车专业实训设备项目采购[采购项目编号为GDXJ2022HGK3028]的投标和合同执行，以我方的名义处理一切与之有关的事宜。</w:t>
      </w:r>
    </w:p>
    <w:p>
      <w:pPr>
        <w:ind w:firstLine="480"/>
      </w:pPr>
      <w:r>
        <w:t>本授权书于________年________月________日签字生效，特此声明。</w:t>
      </w:r>
    </w:p>
    <w:p>
      <w:r>
        <w:t xml:space="preserve"> 投标人（盖章）：__________________</w:t>
      </w:r>
    </w:p>
    <w:p>
      <w:r>
        <w:t xml:space="preserve"> 地址：__________________</w:t>
      </w:r>
    </w:p>
    <w:p>
      <w:r>
        <w:t xml:space="preserve"> 法定代表人（签字或盖章）：__________________</w:t>
      </w:r>
    </w:p>
    <w:p>
      <w:r>
        <w:t xml:space="preserve"> 职务：__________________</w:t>
      </w:r>
    </w:p>
    <w:p>
      <w:r>
        <w:t xml:space="preserve"> 被授权人（签字或盖章）：__________________</w:t>
      </w:r>
    </w:p>
    <w:p>
      <w:r>
        <w:t xml:space="preserve"> 职务：__________________</w:t>
      </w:r>
    </w:p>
    <w:p>
      <w:r>
        <w:t>日期： 年 月 日</w:t>
      </w:r>
    </w:p>
    <w:p>
      <w:pPr>
        <w:ind w:firstLine="480"/>
      </w:pPr>
    </w:p>
    <w:p>
      <w:r>
        <w:t xml:space="preserve"> </w:t>
      </w:r>
    </w:p>
    <w:p/>
    <w:p>
      <w:r>
        <w:rPr>
          <w:b/>
          <w:sz w:val="28"/>
        </w:rPr>
        <w:t>格式七：</w:t>
      </w:r>
    </w:p>
    <w:p>
      <w:pPr>
        <w:jc w:val="center"/>
      </w:pPr>
      <w:r>
        <w:rPr>
          <w:b/>
          <w:sz w:val="24"/>
        </w:rPr>
        <w:t>投标保证金</w:t>
      </w:r>
    </w:p>
    <w:p>
      <w:pPr>
        <w:ind w:firstLine="480"/>
      </w:pPr>
      <w:r>
        <w:t>采购文件要求递交投标保证金的，投标人应在此提供保证金的凭证的复印件。</w:t>
      </w:r>
    </w:p>
    <w:p>
      <w:pPr>
        <w:ind w:firstLine="480"/>
      </w:pPr>
    </w:p>
    <w:p>
      <w:r>
        <w:t xml:space="preserve"> </w:t>
      </w:r>
    </w:p>
    <w:p/>
    <w:p>
      <w:r>
        <w:rPr>
          <w:b/>
          <w:sz w:val="28"/>
        </w:rPr>
        <w:t>格式八：</w:t>
      </w:r>
    </w:p>
    <w:p>
      <w:pPr>
        <w:jc w:val="center"/>
      </w:pPr>
      <w:r>
        <w:rPr>
          <w:b/>
          <w:sz w:val="24"/>
        </w:rPr>
        <w:t>提供具有独立承担民事责任的能力的证明材料</w:t>
      </w:r>
    </w:p>
    <w:p>
      <w:pPr>
        <w:ind w:firstLine="480"/>
      </w:pPr>
    </w:p>
    <w:p>
      <w:r>
        <w:t xml:space="preserve"> </w:t>
      </w:r>
    </w:p>
    <w:p/>
    <w:p>
      <w:r>
        <w:rPr>
          <w:b/>
          <w:sz w:val="28"/>
        </w:rPr>
        <w:t>格式九：</w:t>
      </w:r>
    </w:p>
    <w:p>
      <w:pPr>
        <w:jc w:val="center"/>
      </w:pPr>
      <w:r>
        <w:rPr>
          <w:b/>
          <w:sz w:val="24"/>
        </w:rPr>
        <w:t>资格性审查要求的其他资质证明文件</w:t>
      </w:r>
    </w:p>
    <w:p>
      <w:pPr>
        <w:ind w:firstLine="480"/>
      </w:pPr>
      <w:r>
        <w:t>详见资格性条款要求</w:t>
      </w:r>
    </w:p>
    <w:p>
      <w:pPr>
        <w:ind w:firstLine="480"/>
      </w:pPr>
      <w:r>
        <w:t>设备和专业技术能力情况表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4"/>
          </w:tcPr>
          <w:p>
            <w: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序号</w:t>
            </w:r>
          </w:p>
        </w:tc>
        <w:tc>
          <w:tcPr>
            <w:tcW w:w="2076" w:type="dxa"/>
          </w:tcPr>
          <w:p>
            <w:r>
              <w:t>设备名称和专业技术人员</w:t>
            </w:r>
          </w:p>
        </w:tc>
        <w:tc>
          <w:tcPr>
            <w:tcW w:w="2076" w:type="dxa"/>
          </w:tcPr>
          <w:p>
            <w:r>
              <w:t>数量及单位</w:t>
            </w:r>
          </w:p>
        </w:tc>
        <w:tc>
          <w:tcPr>
            <w:tcW w:w="2076" w:type="dxa"/>
          </w:tcPr>
          <w:p>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1</w:t>
            </w:r>
          </w:p>
        </w:tc>
        <w:tc>
          <w:tcPr>
            <w:tcW w:w="2076" w:type="dxa"/>
          </w:tcP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2</w:t>
            </w:r>
          </w:p>
        </w:tc>
        <w:tc>
          <w:tcPr>
            <w:tcW w:w="2076" w:type="dxa"/>
          </w:tcP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3</w:t>
            </w:r>
          </w:p>
        </w:tc>
        <w:tc>
          <w:tcPr>
            <w:tcW w:w="2076" w:type="dxa"/>
          </w:tcP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w:t>
            </w:r>
          </w:p>
        </w:tc>
        <w:tc>
          <w:tcPr>
            <w:tcW w:w="2076" w:type="dxa"/>
          </w:tcPr>
          <w:p/>
        </w:tc>
        <w:tc>
          <w:tcPr>
            <w:tcW w:w="2076" w:type="dxa"/>
          </w:tcPr>
          <w:p/>
        </w:tc>
        <w:tc>
          <w:tcPr>
            <w:tcW w:w="2076" w:type="dxa"/>
          </w:tcPr>
          <w:p/>
        </w:tc>
      </w:tr>
    </w:tbl>
    <w:p>
      <w:pPr>
        <w:ind w:firstLine="480"/>
      </w:pPr>
    </w:p>
    <w:p>
      <w:r>
        <w:t xml:space="preserve"> </w:t>
      </w:r>
    </w:p>
    <w:p/>
    <w:p>
      <w:r>
        <w:rPr>
          <w:b/>
          <w:sz w:val="28"/>
        </w:rPr>
        <w:t>格式十：</w:t>
      </w:r>
    </w:p>
    <w:p>
      <w:pPr>
        <w:ind w:firstLine="480"/>
      </w:pPr>
      <w:r>
        <w:t>（对于采购需求写明“提供承诺”的条款，供应商可参照以下格式提供承诺）</w:t>
      </w:r>
    </w:p>
    <w:p>
      <w:pPr>
        <w:jc w:val="center"/>
      </w:pPr>
      <w:r>
        <w:rPr>
          <w:b/>
          <w:sz w:val="24"/>
        </w:rPr>
        <w:t>承诺函</w:t>
      </w:r>
    </w:p>
    <w:p>
      <w:pPr>
        <w:ind w:firstLine="480"/>
      </w:pPr>
      <w:r>
        <w:t>致：云浮技师学院</w:t>
      </w:r>
      <w:r>
        <w:br w:type="textWrapping"/>
      </w:r>
    </w:p>
    <w:p>
      <w:pPr>
        <w:ind w:firstLine="480"/>
      </w:pPr>
      <w:r>
        <w:t>对于__________________项目（项目编号：__________________），我方郑重承诺如下：</w:t>
      </w:r>
    </w:p>
    <w:p>
      <w:pPr>
        <w:ind w:firstLine="480"/>
      </w:pPr>
      <w:r>
        <w:t>如中标/成交，我方承诺严格落实采购文件以下条款：(建议逐条复制采购文件相关条款原文)</w:t>
      </w:r>
    </w:p>
    <w:p>
      <w:pPr>
        <w:ind w:firstLine="480"/>
      </w:pPr>
      <w:r>
        <w:t>（一）星号条款</w:t>
      </w:r>
    </w:p>
    <w:p>
      <w:pPr>
        <w:ind w:firstLine="480"/>
      </w:pPr>
      <w:r>
        <w:t>1.</w:t>
      </w:r>
    </w:p>
    <w:p>
      <w:pPr>
        <w:ind w:firstLine="480"/>
      </w:pPr>
      <w:r>
        <w:t>2.</w:t>
      </w:r>
    </w:p>
    <w:p>
      <w:pPr>
        <w:ind w:firstLine="480"/>
      </w:pPr>
      <w:r>
        <w:t>3.</w:t>
      </w:r>
    </w:p>
    <w:p>
      <w:pPr>
        <w:ind w:firstLine="480"/>
      </w:pPr>
      <w:r>
        <w:t>.........</w:t>
      </w:r>
    </w:p>
    <w:p>
      <w:pPr>
        <w:ind w:firstLine="480"/>
      </w:pPr>
      <w:r>
        <w:t>（二）三角号条款</w:t>
      </w:r>
    </w:p>
    <w:p>
      <w:pPr>
        <w:ind w:firstLine="480"/>
      </w:pPr>
      <w:r>
        <w:t>1.</w:t>
      </w:r>
    </w:p>
    <w:p>
      <w:pPr>
        <w:ind w:firstLine="480"/>
      </w:pPr>
      <w:r>
        <w:t>2.</w:t>
      </w:r>
    </w:p>
    <w:p>
      <w:pPr>
        <w:ind w:firstLine="480"/>
      </w:pPr>
      <w:r>
        <w:t>3.</w:t>
      </w:r>
    </w:p>
    <w:p>
      <w:pPr>
        <w:ind w:firstLine="480"/>
      </w:pPr>
      <w:r>
        <w:t>.........</w:t>
      </w:r>
    </w:p>
    <w:p>
      <w:pPr>
        <w:ind w:firstLine="480"/>
      </w:pPr>
      <w:r>
        <w:t>（三）非星号、非三角号条款</w:t>
      </w:r>
    </w:p>
    <w:p>
      <w:pPr>
        <w:ind w:firstLine="480"/>
      </w:pPr>
      <w:r>
        <w:t>1.</w:t>
      </w:r>
    </w:p>
    <w:p>
      <w:pPr>
        <w:ind w:firstLine="480"/>
      </w:pPr>
      <w:r>
        <w:t>2.</w:t>
      </w:r>
    </w:p>
    <w:p>
      <w:pPr>
        <w:ind w:firstLine="480"/>
      </w:pPr>
      <w:r>
        <w:t>3.</w:t>
      </w:r>
    </w:p>
    <w:p>
      <w:pPr>
        <w:ind w:firstLine="480"/>
      </w:pPr>
      <w:r>
        <w:t>.........</w:t>
      </w:r>
      <w:r>
        <w:br w:type="textWrapping"/>
      </w:r>
    </w:p>
    <w:p>
      <w:pPr>
        <w:ind w:firstLine="480"/>
      </w:pPr>
      <w:r>
        <w:t>特此承诺。</w:t>
      </w:r>
    </w:p>
    <w:p>
      <w:r>
        <w:t xml:space="preserve"> 供应商名称（盖章）：__________________</w:t>
      </w:r>
    </w:p>
    <w:p>
      <w:r>
        <w:t>日期： 年 月 日</w:t>
      </w:r>
    </w:p>
    <w:p>
      <w:pPr>
        <w:ind w:firstLine="480"/>
      </w:pPr>
    </w:p>
    <w:p>
      <w:r>
        <w:t xml:space="preserve"> </w:t>
      </w:r>
    </w:p>
    <w:p/>
    <w:p>
      <w:r>
        <w:rPr>
          <w:b/>
          <w:sz w:val="28"/>
        </w:rPr>
        <w:t>格式十一：</w:t>
      </w:r>
    </w:p>
    <w:p>
      <w:pPr>
        <w:ind w:firstLine="480"/>
      </w:pPr>
      <w:r>
        <w:t>（以下格式文件由供应商根据需要选用）</w:t>
      </w:r>
    </w:p>
    <w:p>
      <w:pPr>
        <w:ind w:firstLine="480"/>
      </w:pPr>
      <w:r>
        <w:t>中小企业声明函（所投产品制造商为中小企业时提交本函，所属行业应符合采购文件中明确的本项目所属行业）</w:t>
      </w:r>
    </w:p>
    <w:p>
      <w:pPr>
        <w:jc w:val="center"/>
      </w:pPr>
      <w:r>
        <w:rPr>
          <w:b/>
          <w:sz w:val="24"/>
        </w:rPr>
        <w:t>中小企业声明函（货物）</w:t>
      </w:r>
    </w:p>
    <w:p>
      <w:pPr>
        <w:ind w:firstLine="480"/>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ind w:firstLine="480"/>
      </w:pPr>
      <w:r>
        <w:t>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ind w:firstLine="480"/>
      </w:pPr>
      <w:r>
        <w:t>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ind w:firstLine="480"/>
      </w:pPr>
      <w:r>
        <w:t>……</w:t>
      </w:r>
    </w:p>
    <w:p>
      <w:pPr>
        <w:ind w:firstLine="480"/>
      </w:pPr>
      <w:r>
        <w:t>以上企业，不属于大企业的分支机构，不存在控股股东为大企业的情形，也不存在与大企业的负责人为同一人的情形。</w:t>
      </w:r>
    </w:p>
    <w:p>
      <w:pPr>
        <w:ind w:firstLine="480"/>
      </w:pPr>
      <w:r>
        <w:t>本企业对上述声明内容的真实性负责。如有虚假，将依法承担相应责任。</w:t>
      </w:r>
    </w:p>
    <w:p>
      <w:r>
        <w:t xml:space="preserve"> 企业名称（盖章）：__________________</w:t>
      </w:r>
    </w:p>
    <w:p>
      <w:r>
        <w:t>日期： 年 月 日</w:t>
      </w:r>
    </w:p>
    <w:p>
      <w:pPr>
        <w:ind w:firstLine="480"/>
      </w:pPr>
    </w:p>
    <w:p>
      <w:pPr>
        <w:ind w:firstLine="480"/>
      </w:pPr>
    </w:p>
    <w:p>
      <w:pPr>
        <w:ind w:firstLine="480"/>
      </w:pPr>
      <w:r>
        <w:t>1：从业人员、营业收入、资产总额填报上一年度数据，无上一年度数据的新成立企业可不填报</w:t>
      </w:r>
    </w:p>
    <w:p>
      <w:pPr>
        <w:ind w:firstLine="480"/>
      </w:pPr>
      <w: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ind w:firstLine="480"/>
      </w:pPr>
    </w:p>
    <w:p>
      <w:r>
        <w:t xml:space="preserve"> </w:t>
      </w:r>
    </w:p>
    <w:p/>
    <w:p>
      <w:pPr>
        <w:ind w:firstLine="480"/>
      </w:pPr>
      <w:r>
        <w:t>中小企业声明函（承建本项目工程为中小企业或者承接本项目服务为中小企业时提交本函，所属行业应符合采购文件中明确的本项目所属行业）</w:t>
      </w:r>
    </w:p>
    <w:p>
      <w:pPr>
        <w:jc w:val="center"/>
      </w:pPr>
      <w:r>
        <w:rPr>
          <w:b/>
          <w:sz w:val="24"/>
        </w:rPr>
        <w:t>中小企业声明函（工程、服务）</w:t>
      </w:r>
    </w:p>
    <w:p>
      <w:pPr>
        <w:ind w:firstLine="480"/>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ind w:firstLine="480"/>
      </w:pPr>
      <w:r>
        <w:t>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ind w:firstLine="480"/>
      </w:pPr>
      <w:r>
        <w:t>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ind w:firstLine="480"/>
      </w:pPr>
      <w:r>
        <w:t>……</w:t>
      </w:r>
    </w:p>
    <w:p>
      <w:pPr>
        <w:ind w:firstLine="480"/>
      </w:pPr>
      <w:r>
        <w:t>以上企业，不属于大企业的分支机构，不存在控股股东为大企业的情形，也不存在与大企业的负责人为同一人的情形。</w:t>
      </w:r>
    </w:p>
    <w:p>
      <w:pPr>
        <w:ind w:firstLine="480"/>
      </w:pPr>
      <w:r>
        <w:t>本企业对上述声明内容的真实性负责。如有虚假，将依法承担相应责任。</w:t>
      </w:r>
    </w:p>
    <w:p>
      <w:r>
        <w:t xml:space="preserve"> 企业名称（盖章）：__________________</w:t>
      </w:r>
    </w:p>
    <w:p>
      <w:r>
        <w:t>日期： 年 月 日</w:t>
      </w:r>
    </w:p>
    <w:p>
      <w:pPr>
        <w:ind w:firstLine="480"/>
      </w:pPr>
      <w:r>
        <w:t>1：从业人员、营业收入、资产总额填报上一年度数据，无上一年度数据的新成立企业可不填报。</w:t>
      </w:r>
    </w:p>
    <w:p>
      <w:pPr>
        <w:ind w:firstLine="480"/>
      </w:pPr>
      <w:r>
        <w:t>2：投标人应当自行核实是否属于小微企业，并认真填写声明函，若有虚假将追究其责任。</w:t>
      </w:r>
    </w:p>
    <w:p>
      <w:pPr>
        <w:ind w:firstLine="480"/>
      </w:pPr>
    </w:p>
    <w:p>
      <w:r>
        <w:t xml:space="preserve"> </w:t>
      </w:r>
    </w:p>
    <w:p/>
    <w:p>
      <w:r>
        <w:rPr>
          <w:b/>
          <w:sz w:val="28"/>
        </w:rPr>
        <w:t>格式十二：</w:t>
      </w:r>
    </w:p>
    <w:p>
      <w:pPr>
        <w:ind w:firstLine="480"/>
      </w:pPr>
      <w:r>
        <w:t>（以下格式文件由供应商根据需要选用）</w:t>
      </w:r>
    </w:p>
    <w:p>
      <w:pPr>
        <w:jc w:val="center"/>
      </w:pPr>
      <w:r>
        <w:rPr>
          <w:b/>
          <w:sz w:val="24"/>
        </w:rPr>
        <w:t>监狱企业</w:t>
      </w:r>
    </w:p>
    <w:p>
      <w:pPr>
        <w:ind w:firstLine="480"/>
      </w:pPr>
      <w:r>
        <w:t>提供由监狱管理局、戒毒管理局（含新疆生产建设兵团）出具的属于监狱企业的证明文件。</w:t>
      </w:r>
    </w:p>
    <w:p>
      <w:pPr>
        <w:ind w:firstLine="480"/>
      </w:pPr>
    </w:p>
    <w:p>
      <w:r>
        <w:t xml:space="preserve"> </w:t>
      </w:r>
    </w:p>
    <w:p/>
    <w:p>
      <w:r>
        <w:rPr>
          <w:b/>
          <w:sz w:val="28"/>
        </w:rPr>
        <w:t>格式十三：</w:t>
      </w:r>
    </w:p>
    <w:p>
      <w:pPr>
        <w:ind w:firstLine="480"/>
      </w:pPr>
      <w:r>
        <w:t>（以下格式文件由供应商根据需要选用）</w:t>
      </w:r>
    </w:p>
    <w:p>
      <w:pPr>
        <w:jc w:val="center"/>
      </w:pPr>
      <w:r>
        <w:rPr>
          <w:b/>
          <w:sz w:val="24"/>
        </w:rPr>
        <w:t>残疾人福利性单位声明函</w:t>
      </w:r>
    </w:p>
    <w:p>
      <w:pPr>
        <w:ind w:firstLine="480"/>
      </w:pPr>
      <w:r>
        <w:t>本单位郑重声明，根据《财政部 民政部 中国残疾人联合会关于促进残疾人就业政府采购政策的通知》（财库〔2017〕</w:t>
      </w:r>
      <w:r>
        <w:tab/>
      </w:r>
      <w:r>
        <w:tab/>
      </w:r>
      <w:r>
        <w:tab/>
      </w:r>
      <w: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pPr>
      <w:r>
        <w:t>本单位对上述声明的真实性负责。如有虚假，将依法承担相应责任。</w:t>
      </w:r>
    </w:p>
    <w:p>
      <w:r>
        <w:t xml:space="preserve"> 单位名称（盖章）：__________________</w:t>
      </w:r>
    </w:p>
    <w:p>
      <w:r>
        <w:t>日期： 年 月 日</w:t>
      </w:r>
    </w:p>
    <w:p>
      <w:pPr>
        <w:ind w:firstLine="480"/>
      </w:pPr>
      <w:r>
        <w:t>注：本函未填写或未勾选视作未做声明。</w:t>
      </w:r>
    </w:p>
    <w:p>
      <w:pPr>
        <w:ind w:firstLine="480"/>
      </w:pPr>
    </w:p>
    <w:p>
      <w:r>
        <w:t xml:space="preserve"> </w:t>
      </w:r>
    </w:p>
    <w:p/>
    <w:p>
      <w:r>
        <w:rPr>
          <w:b/>
          <w:sz w:val="28"/>
        </w:rPr>
        <w:t>格式十四：</w:t>
      </w:r>
    </w:p>
    <w:p>
      <w:pPr>
        <w:ind w:firstLine="480"/>
      </w:pPr>
      <w:r>
        <w:t>（以下格式文件由供应商根据需要选用）</w:t>
      </w:r>
    </w:p>
    <w:p>
      <w:pPr>
        <w:jc w:val="center"/>
      </w:pPr>
      <w:r>
        <w:rPr>
          <w:b/>
          <w:sz w:val="24"/>
        </w:rPr>
        <w:t>联合体共同投标协议书</w:t>
      </w:r>
    </w:p>
    <w:p>
      <w:pPr>
        <w:ind w:firstLine="480"/>
      </w:pPr>
      <w:r>
        <w:t>立约方：</w:t>
      </w:r>
      <w:r>
        <w:rPr>
          <w:u w:val="single"/>
        </w:rPr>
        <w:t>（甲公司全称）</w:t>
      </w:r>
    </w:p>
    <w:p>
      <w:pPr>
        <w:ind w:firstLine="480"/>
      </w:pPr>
      <w:r>
        <w:rPr>
          <w:u w:val="single"/>
        </w:rPr>
        <w:t>（乙公司全称）</w:t>
      </w:r>
    </w:p>
    <w:p>
      <w:pPr>
        <w:ind w:firstLine="480"/>
      </w:pPr>
      <w:r>
        <w:rPr>
          <w:u w:val="single"/>
        </w:rPr>
        <w:t>（……公司全称）</w:t>
      </w:r>
    </w:p>
    <w:p>
      <w:pPr>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ind w:firstLine="480"/>
      </w:pPr>
      <w:r>
        <w:t>一、联合体各方关系</w:t>
      </w:r>
    </w:p>
    <w:p>
      <w:pPr>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共同组成一个联合体，以一个投标人的身份共同参加本项目的响应。（甲公司全称）、（乙公司全称）、（……公司全称）作为联合体成员，若中标，联合体各方共同与签订政府采购合同。</w:t>
      </w:r>
    </w:p>
    <w:p>
      <w:pPr>
        <w:ind w:firstLine="480"/>
      </w:pPr>
      <w:r>
        <w:t>二、联合体内部有关事项约定如下：</w:t>
      </w:r>
    </w:p>
    <w:p>
      <w:pPr>
        <w:ind w:firstLine="480"/>
      </w:pPr>
      <w:r>
        <w:t>1.（甲公司全称）作为联合体的牵头单位，代表联合体双方负责投标和合同实施阶段的主办、协调工作。</w:t>
      </w:r>
    </w:p>
    <w:p>
      <w:pPr>
        <w:ind w:firstLine="480"/>
      </w:pPr>
      <w:r>
        <w:t>2.联合体将严格按照文件的各项要求，递交投标文件，切实执行一切合同文件，共同承担合同规定的一切义务和责任，同时按照内部职责的划分，承担自身所负的责任和风险，在法律在承担连带责任。</w:t>
      </w:r>
    </w:p>
    <w:p>
      <w:pPr>
        <w:ind w:firstLine="480"/>
      </w:pPr>
      <w:r>
        <w:t>3.如果本联合体中标，</w:t>
      </w:r>
      <w:r>
        <w:rPr>
          <w:u w:val="single"/>
        </w:rPr>
        <w:t>（甲公司全称）</w:t>
      </w:r>
      <w:r>
        <w:t>负责本项目___________部分，</w:t>
      </w:r>
      <w:r>
        <w:rPr>
          <w:u w:val="single"/>
        </w:rPr>
        <w:t>（乙公司全称）</w:t>
      </w:r>
      <w:r>
        <w:t>负责本项目___________部分。</w:t>
      </w:r>
    </w:p>
    <w:p>
      <w:pPr>
        <w:ind w:firstLine="480"/>
      </w:pPr>
      <w:r>
        <w:t>4.如中标，联合体各方共同与（采购人）签订合同书，并就中标项目向采购人负责有连带的和各自的法律责任；</w:t>
      </w:r>
    </w:p>
    <w:p>
      <w:pPr>
        <w:ind w:firstLine="480"/>
      </w:pPr>
      <w:r>
        <w:t>5.联合体成员（公司全称）为（请填写：小型、微型）企业，将承担合同总金额_____%的工作内容（联合体成员中有小型、微型企业时适用）。</w:t>
      </w:r>
    </w:p>
    <w:p>
      <w:pPr>
        <w:ind w:firstLine="480"/>
      </w:pPr>
      <w: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pPr>
        <w:ind w:firstLine="480"/>
      </w:pPr>
      <w:r>
        <w:t>四、联合体如因违约过失责任而导致采购人经济损失或被索赔时，本联合体任何一方均同意无条件优先清偿采购人的一切债务和经济赔偿。</w:t>
      </w:r>
    </w:p>
    <w:p>
      <w:pPr>
        <w:ind w:firstLine="480"/>
      </w:pPr>
      <w:r>
        <w:t>五、本协议在自签署之日起生效，有效期内有效，如获中标资格，合同有效期延续至合同履行完毕之日。</w:t>
      </w:r>
    </w:p>
    <w:p>
      <w:pPr>
        <w:ind w:firstLine="480"/>
      </w:pPr>
      <w:r>
        <w:t>六、本协议书正本一式_____份，随投标文件装订_____份，送采购人_____份，联合体成员各一份；副本一式_____份，联合体成员各执_____份。</w:t>
      </w:r>
    </w:p>
    <w:p>
      <w:r>
        <w:t>甲公司全称：____（盖章）________，乙公司全称：____（盖章）________，……公司全称：____（盖章）________，</w:t>
      </w:r>
    </w:p>
    <w:p>
      <w:r>
        <w:t>____年____月 ____日，____年____月____日，____年____月____日</w:t>
      </w:r>
    </w:p>
    <w:p>
      <w:pPr>
        <w:ind w:firstLine="480"/>
      </w:pPr>
      <w:r>
        <w:t>注：1．联合响应时需签本协议，联合体各方成员应在本协议上共同盖章确认。</w:t>
      </w:r>
    </w:p>
    <w:p>
      <w:pPr>
        <w:ind w:firstLine="480"/>
      </w:pPr>
      <w:r>
        <w:t>2．本协议内容不得擅自修改。此协议将作为签订合同的附件之一。</w:t>
      </w:r>
    </w:p>
    <w:p>
      <w:pPr>
        <w:ind w:firstLine="480"/>
      </w:pPr>
    </w:p>
    <w:p>
      <w:r>
        <w:t xml:space="preserve"> </w:t>
      </w:r>
    </w:p>
    <w:p/>
    <w:p>
      <w:r>
        <w:rPr>
          <w:b/>
          <w:sz w:val="28"/>
        </w:rPr>
        <w:t>格式十五：</w:t>
      </w:r>
    </w:p>
    <w:p>
      <w:pPr>
        <w:ind w:firstLine="480"/>
      </w:pPr>
      <w:r>
        <w:t>（以下格式文件由供应商根据需要选用）</w:t>
      </w:r>
    </w:p>
    <w:p>
      <w:pPr>
        <w:jc w:val="center"/>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r>
              <w:t>序号</w:t>
            </w:r>
          </w:p>
        </w:tc>
        <w:tc>
          <w:tcPr>
            <w:tcW w:w="1384" w:type="dxa"/>
          </w:tcPr>
          <w:p>
            <w:r>
              <w:t>客户名称</w:t>
            </w:r>
          </w:p>
        </w:tc>
        <w:tc>
          <w:tcPr>
            <w:tcW w:w="1384" w:type="dxa"/>
          </w:tcPr>
          <w:p>
            <w:r>
              <w:t>项目名称及合同金额（万元）</w:t>
            </w:r>
          </w:p>
        </w:tc>
        <w:tc>
          <w:tcPr>
            <w:tcW w:w="1384" w:type="dxa"/>
          </w:tcPr>
          <w:p>
            <w:r>
              <w:t>签订合同时间</w:t>
            </w:r>
          </w:p>
        </w:tc>
        <w:tc>
          <w:tcPr>
            <w:tcW w:w="1384" w:type="dxa"/>
          </w:tcPr>
          <w:p>
            <w:r>
              <w:t>竣工验收报告时间</w:t>
            </w:r>
          </w:p>
        </w:tc>
        <w:tc>
          <w:tcPr>
            <w:tcW w:w="1384" w:type="dxa"/>
          </w:tcPr>
          <w:p>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r>
              <w:t>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r>
              <w:t>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r>
              <w:t>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r>
              <w:t>…</w:t>
            </w:r>
          </w:p>
        </w:tc>
        <w:tc>
          <w:tcPr>
            <w:tcW w:w="1384" w:type="dxa"/>
          </w:tcPr>
          <w:p/>
        </w:tc>
        <w:tc>
          <w:tcPr>
            <w:tcW w:w="1384" w:type="dxa"/>
          </w:tcPr>
          <w:p/>
        </w:tc>
        <w:tc>
          <w:tcPr>
            <w:tcW w:w="1384" w:type="dxa"/>
          </w:tcPr>
          <w:p/>
        </w:tc>
        <w:tc>
          <w:tcPr>
            <w:tcW w:w="1384" w:type="dxa"/>
          </w:tcPr>
          <w:p/>
        </w:tc>
        <w:tc>
          <w:tcPr>
            <w:tcW w:w="1384" w:type="dxa"/>
          </w:tcPr>
          <w:p/>
        </w:tc>
      </w:tr>
    </w:tbl>
    <w:p>
      <w:pPr>
        <w:ind w:firstLine="480"/>
      </w:pPr>
      <w:r>
        <w:t>根据上述业绩情况，按招标文件要求附销售或服务合同复印件及评审标准要求的证明材料。</w:t>
      </w:r>
    </w:p>
    <w:p>
      <w:pPr>
        <w:ind w:firstLine="480"/>
      </w:pPr>
    </w:p>
    <w:p>
      <w:r>
        <w:t xml:space="preserve"> </w:t>
      </w:r>
    </w:p>
    <w:p/>
    <w:p>
      <w:r>
        <w:rPr>
          <w:b/>
          <w:sz w:val="28"/>
        </w:rPr>
        <w:t>格式十六：</w:t>
      </w:r>
    </w:p>
    <w:p>
      <w:pPr>
        <w:jc w:val="center"/>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序号</w:t>
            </w:r>
          </w:p>
        </w:tc>
        <w:tc>
          <w:tcPr>
            <w:tcW w:w="923" w:type="dxa"/>
          </w:tcPr>
          <w:p>
            <w:r>
              <w:t>标的名称</w:t>
            </w:r>
          </w:p>
        </w:tc>
        <w:tc>
          <w:tcPr>
            <w:tcW w:w="923" w:type="dxa"/>
          </w:tcPr>
          <w:p>
            <w:r>
              <w:t>参数性质</w:t>
            </w:r>
          </w:p>
        </w:tc>
        <w:tc>
          <w:tcPr>
            <w:tcW w:w="923" w:type="dxa"/>
          </w:tcPr>
          <w:p>
            <w:r>
              <w:t>采购文件规定的技术和服务要求</w:t>
            </w:r>
          </w:p>
        </w:tc>
        <w:tc>
          <w:tcPr>
            <w:tcW w:w="923" w:type="dxa"/>
          </w:tcPr>
          <w:p>
            <w:r>
              <w:t>投标文件响应的具体内容</w:t>
            </w:r>
          </w:p>
        </w:tc>
        <w:tc>
          <w:tcPr>
            <w:tcW w:w="923" w:type="dxa"/>
          </w:tcPr>
          <w:p>
            <w:r>
              <w:t>型号</w:t>
            </w:r>
          </w:p>
        </w:tc>
        <w:tc>
          <w:tcPr>
            <w:tcW w:w="923" w:type="dxa"/>
          </w:tcPr>
          <w:p>
            <w:r>
              <w:t>是否偏离</w:t>
            </w:r>
          </w:p>
        </w:tc>
        <w:tc>
          <w:tcPr>
            <w:tcW w:w="923" w:type="dxa"/>
          </w:tcPr>
          <w:p>
            <w:r>
              <w:t>证明文件所在位置</w:t>
            </w:r>
          </w:p>
        </w:tc>
        <w:tc>
          <w:tcPr>
            <w:tcW w:w="923" w:type="dxa"/>
          </w:tcPr>
          <w:p>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ind w:firstLine="480"/>
      </w:pPr>
      <w:r>
        <w:t>说明：</w:t>
      </w:r>
    </w:p>
    <w:p>
      <w:pPr>
        <w:ind w:firstLine="480"/>
      </w:pPr>
      <w:r>
        <w:t>1.“采购文件规定的技术和服务要求”项下填写的内容应与招标文件中采购需求的</w:t>
      </w:r>
      <w:r>
        <w:tab/>
      </w:r>
      <w:r>
        <w:tab/>
      </w:r>
      <w:r>
        <w:tab/>
      </w:r>
      <w:r>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t>2.</w:t>
      </w:r>
      <w:r>
        <w:tab/>
      </w:r>
      <w:r>
        <w:tab/>
      </w:r>
      <w:r>
        <w:tab/>
      </w:r>
      <w:r>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t>3. “是否偏离”项下应按下列规定填写：优于的，填写“正偏离”；符合的，填写“无偏离”；低于的，填写“负偏离”。</w:t>
      </w:r>
    </w:p>
    <w:p>
      <w:pPr>
        <w:ind w:firstLine="480"/>
      </w:pPr>
      <w:r>
        <w:t>4.“备注”处可填写偏离情况的说明。</w:t>
      </w:r>
    </w:p>
    <w:p>
      <w:pPr>
        <w:ind w:firstLine="480"/>
      </w:pPr>
    </w:p>
    <w:p>
      <w:r>
        <w:t xml:space="preserve"> </w:t>
      </w:r>
    </w:p>
    <w:p/>
    <w:p>
      <w:r>
        <w:rPr>
          <w:b/>
          <w:sz w:val="28"/>
        </w:rPr>
        <w:t>格式十七：</w:t>
      </w:r>
    </w:p>
    <w:p>
      <w:pPr>
        <w:jc w:val="center"/>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序号</w:t>
            </w:r>
          </w:p>
        </w:tc>
        <w:tc>
          <w:tcPr>
            <w:tcW w:w="1187" w:type="dxa"/>
          </w:tcPr>
          <w:p>
            <w:r>
              <w:t>参数性质</w:t>
            </w:r>
          </w:p>
        </w:tc>
        <w:tc>
          <w:tcPr>
            <w:tcW w:w="1187" w:type="dxa"/>
          </w:tcPr>
          <w:p>
            <w:r>
              <w:t>采购文件规定的商务条件</w:t>
            </w:r>
          </w:p>
        </w:tc>
        <w:tc>
          <w:tcPr>
            <w:tcW w:w="1187" w:type="dxa"/>
          </w:tcPr>
          <w:p>
            <w:r>
              <w:t>投标文件响应的具体内容</w:t>
            </w:r>
          </w:p>
        </w:tc>
        <w:tc>
          <w:tcPr>
            <w:tcW w:w="1187" w:type="dxa"/>
          </w:tcPr>
          <w:p>
            <w:r>
              <w:t>是否偏离</w:t>
            </w:r>
          </w:p>
        </w:tc>
        <w:tc>
          <w:tcPr>
            <w:tcW w:w="1187" w:type="dxa"/>
          </w:tcPr>
          <w:p>
            <w:r>
              <w:t>证明文件所在位置</w:t>
            </w:r>
          </w:p>
        </w:tc>
        <w:tc>
          <w:tcPr>
            <w:tcW w:w="1187" w:type="dxa"/>
          </w:tcPr>
          <w:p>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ind w:firstLine="480"/>
      </w:pPr>
      <w:r>
        <w:t>说明：</w:t>
      </w:r>
    </w:p>
    <w:p>
      <w:pPr>
        <w:ind w:firstLine="480"/>
      </w:pPr>
      <w:r>
        <w:t>1. “采购文件规定的商务条件”项下填写的内容应与招标文件中采购需求的 “商务要求”的内容保持一致。</w:t>
      </w:r>
    </w:p>
    <w:p>
      <w:pPr>
        <w:ind w:firstLine="480"/>
      </w:pPr>
      <w:r>
        <w:t>2.</w:t>
      </w:r>
      <w:r>
        <w:tab/>
      </w:r>
      <w:r>
        <w:tab/>
      </w:r>
      <w:r>
        <w:tab/>
      </w:r>
      <w:r>
        <w:t xml:space="preserve">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t>3.</w:t>
      </w:r>
      <w:r>
        <w:tab/>
      </w:r>
      <w:r>
        <w:tab/>
      </w:r>
      <w:r>
        <w:tab/>
      </w:r>
      <w:r>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t>4. “是否偏离”项下应按下列规定填写：优于的，填写“正偏离”；符合的，填写“无偏离”；低于的，填写“负偏离”。</w:t>
      </w:r>
    </w:p>
    <w:p>
      <w:pPr>
        <w:ind w:firstLine="480"/>
      </w:pPr>
      <w:r>
        <w:t>5.“备注”处可填写偏离情况的说明。</w:t>
      </w:r>
    </w:p>
    <w:p>
      <w:pPr>
        <w:ind w:firstLine="480"/>
      </w:pPr>
    </w:p>
    <w:p>
      <w:r>
        <w:t xml:space="preserve"> </w:t>
      </w:r>
    </w:p>
    <w:p/>
    <w:p>
      <w:r>
        <w:rPr>
          <w:b/>
          <w:sz w:val="28"/>
        </w:rPr>
        <w:t>格式十八：</w:t>
      </w:r>
    </w:p>
    <w:p>
      <w:pPr>
        <w:ind w:firstLine="480"/>
      </w:pPr>
      <w:r>
        <w:t>（以下格式文件由供应商根据需要选用）</w:t>
      </w:r>
    </w:p>
    <w:p>
      <w:pPr>
        <w:jc w:val="center"/>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序号</w:t>
            </w:r>
          </w:p>
        </w:tc>
        <w:tc>
          <w:tcPr>
            <w:tcW w:w="2076" w:type="dxa"/>
          </w:tcPr>
          <w:p>
            <w:r>
              <w:t>拟定时间安排</w:t>
            </w:r>
          </w:p>
        </w:tc>
        <w:tc>
          <w:tcPr>
            <w:tcW w:w="2076" w:type="dxa"/>
          </w:tcPr>
          <w:p>
            <w:r>
              <w:t>计划完成的工作内容</w:t>
            </w:r>
          </w:p>
        </w:tc>
        <w:tc>
          <w:tcPr>
            <w:tcW w:w="2076" w:type="dxa"/>
          </w:tcPr>
          <w:p>
            <w: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1</w:t>
            </w:r>
          </w:p>
        </w:tc>
        <w:tc>
          <w:tcPr>
            <w:tcW w:w="2076" w:type="dxa"/>
          </w:tcPr>
          <w:p>
            <w:r>
              <w:t>拟定___年___月___日</w:t>
            </w:r>
          </w:p>
        </w:tc>
        <w:tc>
          <w:tcPr>
            <w:tcW w:w="2076" w:type="dxa"/>
          </w:tcPr>
          <w:p>
            <w:r>
              <w:t>签定合同并生效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2</w:t>
            </w:r>
          </w:p>
        </w:tc>
        <w:tc>
          <w:tcPr>
            <w:tcW w:w="2076" w:type="dxa"/>
          </w:tcPr>
          <w:p>
            <w: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3</w:t>
            </w:r>
          </w:p>
        </w:tc>
        <w:tc>
          <w:tcPr>
            <w:tcW w:w="2076" w:type="dxa"/>
          </w:tcPr>
          <w:p>
            <w: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4</w:t>
            </w:r>
          </w:p>
        </w:tc>
        <w:tc>
          <w:tcPr>
            <w:tcW w:w="2076" w:type="dxa"/>
          </w:tcPr>
          <w:p>
            <w:r>
              <w:t>___月___日—___月___日</w:t>
            </w:r>
          </w:p>
        </w:tc>
        <w:tc>
          <w:tcPr>
            <w:tcW w:w="2076" w:type="dxa"/>
          </w:tcPr>
          <w:p>
            <w:r>
              <w:t>质保期</w:t>
            </w:r>
          </w:p>
        </w:tc>
        <w:tc>
          <w:tcPr>
            <w:tcW w:w="2076" w:type="dxa"/>
          </w:tcPr>
          <w:p/>
        </w:tc>
      </w:tr>
    </w:tbl>
    <w:p>
      <w:pPr>
        <w:ind w:firstLine="480"/>
      </w:pPr>
    </w:p>
    <w:p>
      <w:r>
        <w:t xml:space="preserve"> </w:t>
      </w:r>
    </w:p>
    <w:p/>
    <w:p>
      <w:r>
        <w:rPr>
          <w:b/>
          <w:sz w:val="28"/>
        </w:rPr>
        <w:t>格式十九：</w:t>
      </w:r>
    </w:p>
    <w:p>
      <w:pPr>
        <w:ind w:firstLine="480"/>
      </w:pPr>
      <w:r>
        <w:t>（以下格式文件由供应商根据需要选用）</w:t>
      </w:r>
    </w:p>
    <w:p>
      <w:pPr>
        <w:jc w:val="center"/>
      </w:pPr>
      <w:r>
        <w:rPr>
          <w:b/>
          <w:sz w:val="24"/>
        </w:rPr>
        <w:t>各类证明材料</w:t>
      </w:r>
    </w:p>
    <w:p>
      <w:pPr>
        <w:ind w:firstLine="480"/>
      </w:pPr>
      <w:r>
        <w:t>1.招标文件要求提供的其他资料。</w:t>
      </w:r>
    </w:p>
    <w:p>
      <w:pPr>
        <w:ind w:firstLine="480"/>
      </w:pPr>
      <w:r>
        <w:t>2.投标人认为需提供的其他资料。</w:t>
      </w:r>
    </w:p>
    <w:p>
      <w:pPr>
        <w:ind w:firstLine="480"/>
      </w:pPr>
    </w:p>
    <w:p>
      <w:r>
        <w:t xml:space="preserve"> </w:t>
      </w:r>
    </w:p>
    <w:p/>
    <w:p>
      <w:r>
        <w:rPr>
          <w:b/>
          <w:sz w:val="28"/>
        </w:rPr>
        <w:t>格式二十：</w:t>
      </w:r>
    </w:p>
    <w:p>
      <w:pPr>
        <w:jc w:val="center"/>
      </w:pPr>
      <w:r>
        <w:rPr>
          <w:b/>
          <w:sz w:val="24"/>
        </w:rPr>
        <w:t>采购代理服务费支付承诺书</w:t>
      </w:r>
    </w:p>
    <w:p>
      <w:pPr>
        <w:ind w:firstLine="480"/>
      </w:pPr>
      <w:r>
        <w:t>致：广东晓君项目管理有限公司</w:t>
      </w:r>
    </w:p>
    <w:p>
      <w:pPr>
        <w:ind w:firstLine="480"/>
      </w:pPr>
      <w:r>
        <w:t>如果我方在贵采购代理机构组织的云浮技师学院氢能汽车专业实训设备招标中获中标（采购项目编号：GDXJ2022HGK3028），我方保证在收取《中标通知书》时，按招标文件对代理服务费支付方式的约定，承担本项目代理服务费。</w:t>
      </w:r>
    </w:p>
    <w:p>
      <w:pPr>
        <w:ind w:firstLine="480"/>
      </w:pPr>
      <w: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晓君项目管理有限公司的要求办理支付手续。</w:t>
      </w:r>
    </w:p>
    <w:p>
      <w:pPr>
        <w:ind w:firstLine="480"/>
      </w:pPr>
      <w:r>
        <w:t>特此承诺！</w:t>
      </w:r>
    </w:p>
    <w:p>
      <w:pPr>
        <w:ind w:firstLine="480"/>
      </w:pPr>
    </w:p>
    <w:p>
      <w:r>
        <w:t>投标人法定名称（公章）；_____________________</w:t>
      </w:r>
    </w:p>
    <w:p>
      <w:r>
        <w:t>投标人法定地址：_____________________</w:t>
      </w:r>
    </w:p>
    <w:p>
      <w:r>
        <w:t>投标人授权代表（签字或盖章）：_____________________</w:t>
      </w:r>
    </w:p>
    <w:p>
      <w:r>
        <w:t>电 话：_____________________</w:t>
      </w:r>
    </w:p>
    <w:p>
      <w:r>
        <w:t>传 真：_____________________</w:t>
      </w:r>
    </w:p>
    <w:p>
      <w:r>
        <w:t>承诺日期：_____________________</w:t>
      </w:r>
    </w:p>
    <w:p>
      <w:pPr>
        <w:ind w:firstLine="480"/>
      </w:pPr>
    </w:p>
    <w:p>
      <w:r>
        <w:t xml:space="preserve"> </w:t>
      </w:r>
    </w:p>
    <w:p/>
    <w:p>
      <w:r>
        <w:rPr>
          <w:b/>
          <w:sz w:val="28"/>
        </w:rPr>
        <w:t>格式二十一：</w:t>
      </w:r>
    </w:p>
    <w:p>
      <w:pPr>
        <w:ind w:firstLine="480"/>
      </w:pPr>
      <w:r>
        <w:t>（以下格式文件由供应商根据需要选用）</w:t>
      </w:r>
    </w:p>
    <w:p>
      <w:pPr>
        <w:jc w:val="center"/>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序号</w:t>
            </w:r>
          </w:p>
        </w:tc>
        <w:tc>
          <w:tcPr>
            <w:tcW w:w="4153" w:type="dxa"/>
          </w:tcPr>
          <w:p>
            <w: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r>
              <w:t>3</w:t>
            </w:r>
          </w:p>
        </w:tc>
        <w:tc>
          <w:tcPr>
            <w:tcW w:w="4153" w:type="dxa"/>
          </w:tcPr>
          <w:p/>
        </w:tc>
      </w:tr>
    </w:tbl>
    <w:p>
      <w:pPr>
        <w:ind w:firstLine="480"/>
      </w:pPr>
      <w:r>
        <w:t>注：投标人完成本项目需要采购人配合或提供的条件必须在上表列出，否则将视为投标人同意按现有条件完成本项目。如上表所列附加条件含有采购人不能接受的，将被视为投标无效。</w:t>
      </w:r>
    </w:p>
    <w:p>
      <w:pPr>
        <w:ind w:firstLine="480"/>
      </w:pPr>
    </w:p>
    <w:p>
      <w:r>
        <w:t xml:space="preserve"> </w:t>
      </w:r>
    </w:p>
    <w:p/>
    <w:p>
      <w:r>
        <w:rPr>
          <w:b/>
          <w:sz w:val="28"/>
        </w:rPr>
        <w:t>格式二十二：</w:t>
      </w:r>
    </w:p>
    <w:p>
      <w:pPr>
        <w:ind w:firstLine="480"/>
      </w:pPr>
      <w:r>
        <w:t>（以下格式文件由供应商根据需要选用）</w:t>
      </w:r>
    </w:p>
    <w:p>
      <w:pPr>
        <w:jc w:val="center"/>
      </w:pPr>
      <w:r>
        <w:rPr>
          <w:b/>
          <w:sz w:val="24"/>
        </w:rPr>
        <w:t>询问函、质疑函、投诉书格式</w:t>
      </w:r>
    </w:p>
    <w:p>
      <w:pPr>
        <w:ind w:firstLine="480"/>
      </w:pPr>
      <w:r>
        <w:t>说明：本部分格式为投标人提交询问函、质疑函、投诉函时使用，不属于投标文件格式的组成部分。</w:t>
      </w:r>
    </w:p>
    <w:p>
      <w:pPr>
        <w:jc w:val="center"/>
      </w:pPr>
      <w:r>
        <w:rPr>
          <w:b/>
          <w:sz w:val="24"/>
        </w:rPr>
        <w:t>询问函</w:t>
      </w:r>
    </w:p>
    <w:p>
      <w:pPr>
        <w:ind w:firstLine="480"/>
      </w:pPr>
      <w:r>
        <w:t>广东晓君项目管理有限公司</w:t>
      </w:r>
    </w:p>
    <w:p>
      <w:pPr>
        <w:ind w:firstLine="480"/>
      </w:pPr>
      <w:r>
        <w:t>我单位已登记并准备参与云浮技师学院氢能汽车专业实训设备项目（采购项目编号：GDXJ2022HGK3028）的投标活动，现有以下几个内容（或条款）存在疑问（或无法理解），特提出询问。</w:t>
      </w:r>
    </w:p>
    <w:p>
      <w:pPr>
        <w:ind w:firstLine="480"/>
      </w:pPr>
      <w:r>
        <w:t>一、_____________________（事项一）</w:t>
      </w:r>
    </w:p>
    <w:p>
      <w:pPr>
        <w:ind w:firstLine="480"/>
      </w:pPr>
      <w:r>
        <w:t>（1）____________________（问题或条款内容）</w:t>
      </w:r>
    </w:p>
    <w:p>
      <w:pPr>
        <w:ind w:firstLine="480"/>
      </w:pPr>
      <w:r>
        <w:t>（2）____________________（说明疑问或无法理解原因）</w:t>
      </w:r>
    </w:p>
    <w:p>
      <w:pPr>
        <w:ind w:firstLine="480"/>
      </w:pPr>
      <w:r>
        <w:t>（3）____________________（建议）</w:t>
      </w:r>
    </w:p>
    <w:p>
      <w:pPr>
        <w:ind w:firstLine="480"/>
      </w:pPr>
      <w:r>
        <w:t>二、_____________________（事项二）</w:t>
      </w:r>
    </w:p>
    <w:p>
      <w:pPr>
        <w:ind w:firstLine="480"/>
      </w:pPr>
      <w:r>
        <w:t>...</w:t>
      </w:r>
    </w:p>
    <w:p>
      <w:pPr>
        <w:ind w:firstLine="480"/>
      </w:pPr>
      <w:r>
        <w:t>随附相关证明材料如下：（目录）</w:t>
      </w:r>
    </w:p>
    <w:p>
      <w:r>
        <w:t>询问人（公章）：_____________________</w:t>
      </w:r>
    </w:p>
    <w:p>
      <w:r>
        <w:t>法定代表人或授权代表（签字或盖章）：_____________________</w:t>
      </w:r>
    </w:p>
    <w:p>
      <w:r>
        <w:t>地址/邮编：_____________________</w:t>
      </w:r>
    </w:p>
    <w:p>
      <w:r>
        <w:t>电话/传真：_____________________</w:t>
      </w:r>
    </w:p>
    <w:p>
      <w:r>
        <w:t>日期： 年 月 日</w:t>
      </w:r>
    </w:p>
    <w:p>
      <w:pPr>
        <w:ind w:firstLine="480"/>
      </w:pPr>
    </w:p>
    <w:p>
      <w:r>
        <w:t xml:space="preserve"> </w:t>
      </w:r>
    </w:p>
    <w:p/>
    <w:p>
      <w:pPr>
        <w:jc w:val="center"/>
      </w:pPr>
      <w:r>
        <w:rPr>
          <w:b/>
          <w:sz w:val="24"/>
        </w:rPr>
        <w:t>质疑函</w:t>
      </w:r>
    </w:p>
    <w:p>
      <w:pPr>
        <w:ind w:firstLine="480"/>
      </w:pPr>
      <w:r>
        <w:t>一、质疑供应商基本信息</w:t>
      </w:r>
    </w:p>
    <w:p>
      <w:pPr>
        <w:ind w:firstLine="480"/>
      </w:pPr>
      <w:r>
        <w:t>质疑供应商：</w:t>
      </w:r>
    </w:p>
    <w:p>
      <w:pPr>
        <w:ind w:firstLine="480"/>
      </w:pPr>
      <w:r>
        <w:t>地址：_____________________邮编：_____________________</w:t>
      </w:r>
    </w:p>
    <w:p>
      <w:pPr>
        <w:ind w:firstLine="480"/>
      </w:pPr>
      <w:r>
        <w:t>联系：_____________________联系电话：_____________________</w:t>
      </w:r>
    </w:p>
    <w:p>
      <w:pPr>
        <w:ind w:firstLine="480"/>
      </w:pPr>
      <w:r>
        <w:t>授权代表：_____________________</w:t>
      </w:r>
    </w:p>
    <w:p>
      <w:pPr>
        <w:ind w:firstLine="480"/>
      </w:pPr>
      <w:r>
        <w:t>联系电话：_____________________</w:t>
      </w:r>
    </w:p>
    <w:p>
      <w:pPr>
        <w:ind w:firstLine="480"/>
      </w:pPr>
      <w:r>
        <w:t>地址：_____________________邮编：_____________________</w:t>
      </w:r>
    </w:p>
    <w:p>
      <w:pPr>
        <w:ind w:firstLine="480"/>
      </w:pPr>
      <w:r>
        <w:t>二、质疑项目基本情况</w:t>
      </w:r>
    </w:p>
    <w:p>
      <w:pPr>
        <w:ind w:firstLine="480"/>
      </w:pPr>
      <w:r>
        <w:t>质疑项目的名称：_____________________</w:t>
      </w:r>
    </w:p>
    <w:p>
      <w:pPr>
        <w:ind w:firstLine="480"/>
      </w:pPr>
      <w:r>
        <w:t>质疑项目的编号：_____________________ 包号：_____________________</w:t>
      </w:r>
    </w:p>
    <w:p>
      <w:pPr>
        <w:ind w:firstLine="480"/>
      </w:pPr>
      <w:r>
        <w:t>采购人名称：_____________________</w:t>
      </w:r>
    </w:p>
    <w:p>
      <w:pPr>
        <w:ind w:firstLine="480"/>
      </w:pPr>
      <w:r>
        <w:t>采购文件获取日期：_____________________</w:t>
      </w:r>
    </w:p>
    <w:p>
      <w:pPr>
        <w:ind w:firstLine="480"/>
      </w:pPr>
      <w:r>
        <w:t>三、质疑事项具体内容</w:t>
      </w:r>
    </w:p>
    <w:p>
      <w:pPr>
        <w:ind w:firstLine="480"/>
      </w:pPr>
      <w:r>
        <w:t>质疑事项1：_____________________</w:t>
      </w:r>
    </w:p>
    <w:p>
      <w:pPr>
        <w:ind w:firstLine="480"/>
      </w:pPr>
      <w:r>
        <w:t>事实依据：_____________________</w:t>
      </w:r>
    </w:p>
    <w:p>
      <w:pPr>
        <w:ind w:firstLine="480"/>
      </w:pPr>
      <w:r>
        <w:t>法律依据：_____________________</w:t>
      </w:r>
    </w:p>
    <w:p>
      <w:pPr>
        <w:ind w:firstLine="480"/>
      </w:pPr>
      <w:r>
        <w:t>质疑事项2：_____________________</w:t>
      </w:r>
    </w:p>
    <w:p>
      <w:pPr>
        <w:ind w:firstLine="480"/>
      </w:pPr>
      <w:r>
        <w:t>……</w:t>
      </w:r>
    </w:p>
    <w:p>
      <w:pPr>
        <w:ind w:firstLine="480"/>
      </w:pPr>
      <w:r>
        <w:t>四、与质疑事项相关的质疑请求</w:t>
      </w:r>
    </w:p>
    <w:p>
      <w:pPr>
        <w:ind w:firstLine="480"/>
      </w:pPr>
      <w:r>
        <w:t>请求：__________________________________________</w:t>
      </w:r>
    </w:p>
    <w:p>
      <w:r>
        <w:t xml:space="preserve"> 签字(签章)：_____________________ 公章：_____________________</w:t>
      </w:r>
    </w:p>
    <w:p>
      <w:r>
        <w:t>日期： 年 月 日</w:t>
      </w:r>
    </w:p>
    <w:p>
      <w:pPr>
        <w:ind w:firstLine="480"/>
      </w:pPr>
      <w:r>
        <w:t>质疑函制作说明：</w:t>
      </w:r>
    </w:p>
    <w:p>
      <w:pPr>
        <w:ind w:firstLine="480"/>
      </w:pPr>
      <w:r>
        <w:t>1.供应商提出质疑时，应提交质疑函和必要的证明材料。</w:t>
      </w:r>
    </w:p>
    <w:p>
      <w:pPr>
        <w:ind w:firstLine="480"/>
      </w:pPr>
      <w: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pPr>
      <w:r>
        <w:t>3.质疑供应商若对项目的某一分包进行质疑，质疑函中应列明具体采购包号。</w:t>
      </w:r>
    </w:p>
    <w:p>
      <w:pPr>
        <w:ind w:firstLine="480"/>
      </w:pPr>
      <w:r>
        <w:t>4.质疑函的质疑事项应具体、明确，并有必要的事实依据和法律依据。</w:t>
      </w:r>
    </w:p>
    <w:p>
      <w:pPr>
        <w:ind w:firstLine="480"/>
      </w:pPr>
      <w:r>
        <w:t>5.质疑函的质疑请求应与质疑事项相关。</w:t>
      </w:r>
    </w:p>
    <w:p>
      <w:pPr>
        <w:ind w:firstLine="480"/>
      </w:pPr>
      <w:r>
        <w:t>6.质疑供应商为自然人的，质疑函应由本人签字；质疑供应商为法人或者其他组织的，质疑函应由法定代表人、主要负责人，或者其授权代表签字或者盖章，并加盖公章。</w:t>
      </w:r>
    </w:p>
    <w:p>
      <w:pPr>
        <w:ind w:firstLine="480"/>
      </w:pPr>
    </w:p>
    <w:p>
      <w:r>
        <w:t xml:space="preserve"> </w:t>
      </w:r>
    </w:p>
    <w:p/>
    <w:p>
      <w:pPr>
        <w:jc w:val="center"/>
      </w:pPr>
      <w:r>
        <w:rPr>
          <w:b/>
          <w:sz w:val="24"/>
        </w:rPr>
        <w:t>投诉书</w:t>
      </w:r>
    </w:p>
    <w:p>
      <w:pPr>
        <w:ind w:firstLine="480"/>
      </w:pPr>
      <w:r>
        <w:t>一、投诉相关主体基本情况</w:t>
      </w:r>
    </w:p>
    <w:p>
      <w:pPr>
        <w:ind w:firstLine="480"/>
      </w:pPr>
      <w:r>
        <w:t>投诉人：____________________</w:t>
      </w:r>
    </w:p>
    <w:p>
      <w:pPr>
        <w:ind w:firstLine="480"/>
      </w:pPr>
      <w:r>
        <w:t>地 址：____________________邮编：____________________</w:t>
      </w:r>
    </w:p>
    <w:p>
      <w:pPr>
        <w:ind w:firstLine="480"/>
      </w:pPr>
      <w:r>
        <w:t>法定代表人/主要负责人：____________________</w:t>
      </w:r>
    </w:p>
    <w:p>
      <w:pPr>
        <w:ind w:firstLine="480"/>
      </w:pPr>
      <w:r>
        <w:t>联系电话：____________________</w:t>
      </w:r>
    </w:p>
    <w:p>
      <w:pPr>
        <w:ind w:firstLine="480"/>
      </w:pPr>
      <w:r>
        <w:t>授权代表：____________________联系电话：____________________</w:t>
      </w:r>
    </w:p>
    <w:p>
      <w:pPr>
        <w:ind w:firstLine="480"/>
      </w:pPr>
      <w:r>
        <w:t>地 址：____________________邮编：____________________</w:t>
      </w:r>
    </w:p>
    <w:p>
      <w:pPr>
        <w:ind w:firstLine="480"/>
      </w:pPr>
      <w:r>
        <w:t>被投诉人1：____________________</w:t>
      </w:r>
    </w:p>
    <w:p>
      <w:pPr>
        <w:ind w:firstLine="480"/>
      </w:pPr>
      <w:r>
        <w:t>地址：____________________邮编：____________________</w:t>
      </w:r>
    </w:p>
    <w:p>
      <w:pPr>
        <w:ind w:firstLine="480"/>
      </w:pPr>
      <w:r>
        <w:t>联系人：____________________联系电话：____________________</w:t>
      </w:r>
    </w:p>
    <w:p>
      <w:pPr>
        <w:ind w:firstLine="480"/>
      </w:pPr>
      <w:r>
        <w:t>被投诉人2：____________________</w:t>
      </w:r>
    </w:p>
    <w:p>
      <w:pPr>
        <w:ind w:firstLine="480"/>
      </w:pPr>
      <w:r>
        <w:t>……</w:t>
      </w:r>
    </w:p>
    <w:p>
      <w:pPr>
        <w:ind w:firstLine="480"/>
      </w:pPr>
      <w:r>
        <w:t>相关供应商：_____________________</w:t>
      </w:r>
    </w:p>
    <w:p>
      <w:pPr>
        <w:ind w:firstLine="480"/>
      </w:pPr>
      <w:r>
        <w:t>地址：____________________邮编：____________________</w:t>
      </w:r>
    </w:p>
    <w:p>
      <w:pPr>
        <w:ind w:firstLine="480"/>
      </w:pPr>
      <w:r>
        <w:t>联系人：____________________联系电话：____________________</w:t>
      </w:r>
    </w:p>
    <w:p>
      <w:pPr>
        <w:ind w:firstLine="480"/>
      </w:pPr>
      <w:r>
        <w:t>二、投诉项目基本情况</w:t>
      </w:r>
    </w:p>
    <w:p>
      <w:pPr>
        <w:ind w:firstLine="480"/>
      </w:pPr>
      <w:r>
        <w:t>采购项目名称：____________________</w:t>
      </w:r>
    </w:p>
    <w:p>
      <w:pPr>
        <w:ind w:firstLine="480"/>
      </w:pPr>
      <w:r>
        <w:t>采购项目编号： ____________________包号：____________________</w:t>
      </w:r>
    </w:p>
    <w:p>
      <w:pPr>
        <w:ind w:firstLine="480"/>
      </w:pPr>
      <w:r>
        <w:t>采购人名称：____________________</w:t>
      </w:r>
    </w:p>
    <w:p>
      <w:pPr>
        <w:ind w:firstLine="480"/>
      </w:pPr>
      <w:r>
        <w:t>代理机构名称：____________________</w:t>
      </w:r>
    </w:p>
    <w:p>
      <w:pPr>
        <w:ind w:firstLine="480"/>
      </w:pPr>
      <w:r>
        <w:t>采购文件公告:</w:t>
      </w:r>
      <w:r>
        <w:rPr>
          <w:u w:val="single"/>
        </w:rPr>
        <w:t>是/否</w:t>
      </w:r>
      <w:r>
        <w:t>公告期限：_____________________</w:t>
      </w:r>
    </w:p>
    <w:p>
      <w:pPr>
        <w:ind w:firstLine="480"/>
      </w:pPr>
      <w:r>
        <w:t>采购结果公告:</w:t>
      </w:r>
      <w:r>
        <w:rPr>
          <w:u w:val="single"/>
        </w:rPr>
        <w:t>是/否</w:t>
      </w:r>
      <w:r>
        <w:t>公告期限：_____________________</w:t>
      </w:r>
    </w:p>
    <w:p>
      <w:pPr>
        <w:ind w:firstLine="480"/>
      </w:pPr>
      <w:r>
        <w:t>三、质疑基本情况</w:t>
      </w:r>
    </w:p>
    <w:p>
      <w:pPr>
        <w:ind w:firstLine="480"/>
      </w:pPr>
      <w:r>
        <w:t>投诉人于 ____年____月____日,向提出质疑，质疑事项为：_____________________</w:t>
      </w:r>
    </w:p>
    <w:p>
      <w:pPr>
        <w:ind w:firstLine="480"/>
      </w:pPr>
      <w:r>
        <w:rPr>
          <w:u w:val="single"/>
        </w:rPr>
        <w:t>采购人/代理机构</w:t>
      </w:r>
      <w:r>
        <w:t>于____年____月____日,就质疑事项作出了答复/没有在法定期限内作出答复。</w:t>
      </w:r>
    </w:p>
    <w:p>
      <w:pPr>
        <w:ind w:firstLine="480"/>
      </w:pPr>
      <w:r>
        <w:t>四、投诉事项具体内容</w:t>
      </w:r>
    </w:p>
    <w:p>
      <w:pPr>
        <w:ind w:firstLine="480"/>
      </w:pPr>
      <w:r>
        <w:t>投诉事项 1：_____________________</w:t>
      </w:r>
    </w:p>
    <w:p>
      <w:pPr>
        <w:ind w:firstLine="480"/>
      </w:pPr>
      <w:r>
        <w:t>事实依据：_____________________</w:t>
      </w:r>
    </w:p>
    <w:p>
      <w:pPr>
        <w:ind w:firstLine="480"/>
      </w:pPr>
      <w:r>
        <w:t>法律依据：_____________________</w:t>
      </w:r>
    </w:p>
    <w:p>
      <w:pPr>
        <w:ind w:firstLine="480"/>
      </w:pPr>
      <w:r>
        <w:t>投诉事项2：_____________________</w:t>
      </w:r>
    </w:p>
    <w:p>
      <w:pPr>
        <w:ind w:firstLine="480"/>
      </w:pPr>
      <w:r>
        <w:t>……</w:t>
      </w:r>
    </w:p>
    <w:p>
      <w:pPr>
        <w:ind w:firstLine="480"/>
      </w:pPr>
      <w:r>
        <w:t>五、与投诉事项相关的投诉请求</w:t>
      </w:r>
    </w:p>
    <w:p>
      <w:pPr>
        <w:ind w:firstLine="480"/>
      </w:pPr>
      <w:r>
        <w:t>请求：________________________</w:t>
      </w:r>
    </w:p>
    <w:p>
      <w:pPr>
        <w:ind w:firstLine="480"/>
      </w:pPr>
    </w:p>
    <w:p>
      <w:r>
        <w:t xml:space="preserve"> 签字(签章)： ________公章________</w:t>
      </w:r>
    </w:p>
    <w:p>
      <w:r>
        <w:t>日期：____年____月____日</w:t>
      </w:r>
    </w:p>
    <w:p>
      <w:pPr>
        <w:ind w:firstLine="480"/>
      </w:pPr>
    </w:p>
    <w:p>
      <w:pPr>
        <w:ind w:firstLine="480"/>
      </w:pPr>
      <w:r>
        <w:t>投诉书制作说明：</w:t>
      </w:r>
    </w:p>
    <w:p>
      <w:pPr>
        <w:ind w:firstLine="480"/>
      </w:pPr>
      <w:r>
        <w:t>1.投诉人提起投诉时，应当提交投诉书和必要的证明材料，并按照被投诉人和与投诉事项有关的供应商数量提供投诉书副本。</w:t>
      </w:r>
    </w:p>
    <w:p>
      <w:pPr>
        <w:ind w:firstLine="480"/>
      </w:pPr>
      <w: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pPr>
      <w:r>
        <w:t>3.投诉人若对项目的某一分包进行投诉，投诉书应列明具体分包号。</w:t>
      </w:r>
    </w:p>
    <w:p>
      <w:pPr>
        <w:ind w:firstLine="480"/>
      </w:pPr>
      <w:r>
        <w:t>4.投诉书应简要列明质疑事项，质疑函、质疑答复等作为附件材料提供。</w:t>
      </w:r>
    </w:p>
    <w:p>
      <w:pPr>
        <w:ind w:firstLine="480"/>
      </w:pPr>
      <w:r>
        <w:t>5.投诉书的投诉事项应具体、明确，并有必要的事实依据和法律依据。</w:t>
      </w:r>
    </w:p>
    <w:p>
      <w:pPr>
        <w:ind w:firstLine="480"/>
      </w:pPr>
      <w:r>
        <w:t>6.投诉书的投诉请求应与投诉事项相关。</w:t>
      </w:r>
    </w:p>
    <w:p>
      <w:pPr>
        <w:ind w:firstLine="480"/>
      </w:pPr>
      <w:r>
        <w:t>7.投诉人为自然人的，投诉书应当由本人签字；投诉人为法人或者其他组织的，投诉书应当由法定代表人、主要负责人，或者其授权代表签字或者盖章，并加盖公章。</w:t>
      </w:r>
    </w:p>
    <w:p>
      <w:pPr>
        <w:ind w:firstLine="480"/>
      </w:pPr>
    </w:p>
    <w:p>
      <w:r>
        <w:t xml:space="preserve"> </w:t>
      </w:r>
    </w:p>
    <w:p/>
    <w:p>
      <w:r>
        <w:rPr>
          <w:b/>
          <w:sz w:val="28"/>
        </w:rPr>
        <w:t>格式二十三：</w:t>
      </w:r>
    </w:p>
    <w:p>
      <w:pPr>
        <w:ind w:firstLine="480"/>
      </w:pPr>
      <w:r>
        <w:t>（以下格式文件由供应商根据需要选用）</w:t>
      </w:r>
    </w:p>
    <w:p>
      <w:pPr>
        <w:ind w:firstLine="480"/>
      </w:pPr>
      <w:r>
        <w:t>项目实施方案、质量保证及售后服务承诺等内容和格式自拟。</w:t>
      </w:r>
    </w:p>
    <w:p>
      <w:pPr>
        <w:ind w:firstLine="480"/>
      </w:pPr>
    </w:p>
    <w:p>
      <w:r>
        <w:t xml:space="preserve"> </w:t>
      </w:r>
    </w:p>
    <w:p/>
    <w:p>
      <w:r>
        <w:rPr>
          <w:b/>
          <w:sz w:val="28"/>
        </w:rPr>
        <w:t>格式二十四：</w:t>
      </w:r>
    </w:p>
    <w:p>
      <w:pPr>
        <w:ind w:firstLine="480"/>
      </w:pPr>
      <w:r>
        <w:t>附件（以下格式文件由供应商根据需要选用）</w:t>
      </w:r>
    </w:p>
    <w:p>
      <w:pPr>
        <w:jc w:val="center"/>
      </w:pPr>
      <w:r>
        <w:rPr>
          <w:b/>
          <w:sz w:val="24"/>
        </w:rPr>
        <w:t>政府采购投标（响应）担保函</w:t>
      </w:r>
    </w:p>
    <w:p>
      <w:r>
        <w:t>编号：【 】号</w:t>
      </w:r>
    </w:p>
    <w:p>
      <w:pPr>
        <w:ind w:firstLine="480"/>
      </w:pPr>
      <w:r>
        <w:t>（采购人）：</w:t>
      </w:r>
    </w:p>
    <w:p>
      <w:pPr>
        <w:ind w:firstLine="480"/>
      </w:pPr>
      <w: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ind w:firstLine="480"/>
      </w:pPr>
      <w:r>
        <w:t>一、保险责任的情形及保证金额</w:t>
      </w:r>
    </w:p>
    <w:p>
      <w:pPr>
        <w:ind w:firstLine="480"/>
      </w:pPr>
      <w:r>
        <w:t>（一）在投标（响应）人出现下列情形之一时，我方承担保险责任：</w:t>
      </w:r>
    </w:p>
    <w:p>
      <w:pPr>
        <w:ind w:firstLine="480"/>
      </w:pPr>
      <w:r>
        <w:t>1.中标（成交）后投标（响应）人无正当理由不与采购人签订《政府采购合同》；</w:t>
      </w:r>
    </w:p>
    <w:p>
      <w:pPr>
        <w:ind w:firstLine="480"/>
      </w:pPr>
      <w:r>
        <w:t>2.采购文件规定的投标（响应）人应当缴纳保证金的其他情形。</w:t>
      </w:r>
    </w:p>
    <w:p>
      <w:pPr>
        <w:ind w:firstLine="480"/>
      </w:pPr>
      <w:r>
        <w:t>（二）我方承担保险责任的最高金额为人民币__________元（大写）即本项目的投标（响应）保证金金额。</w:t>
      </w:r>
    </w:p>
    <w:p>
      <w:pPr>
        <w:ind w:firstLine="480"/>
      </w:pPr>
      <w:r>
        <w:t>二、保证的方式及保证期间</w:t>
      </w:r>
    </w:p>
    <w:p>
      <w:pPr>
        <w:ind w:firstLine="480"/>
      </w:pPr>
      <w:r>
        <w:t>我方保证的方式为：连带责任保证。</w:t>
      </w:r>
    </w:p>
    <w:p>
      <w:pPr>
        <w:ind w:firstLine="480"/>
      </w:pPr>
      <w:r>
        <w:t>我方的保证期间为：本保险凭证自__年__月__日起生效，有效期至开标日后的90天内。</w:t>
      </w:r>
    </w:p>
    <w:p>
      <w:pPr>
        <w:ind w:firstLine="480"/>
      </w:pPr>
      <w:r>
        <w:t>三、承担保证责任的程序</w:t>
      </w:r>
    </w:p>
    <w:p>
      <w:pPr>
        <w:ind w:firstLine="480"/>
      </w:pPr>
      <w: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pPr>
      <w:r>
        <w:t>2.我方在收到索赔通知及相关证明材料后，在15个工作日内进行审查，符合应承担保证责任情形的，我方按照你方的要求代投标（响应）人向你方支付相应的索赔款项。</w:t>
      </w:r>
    </w:p>
    <w:p>
      <w:pPr>
        <w:ind w:firstLine="480"/>
      </w:pPr>
      <w:r>
        <w:t>四、保证责任的终止</w:t>
      </w:r>
    </w:p>
    <w:p>
      <w:pPr>
        <w:ind w:firstLine="480"/>
      </w:pPr>
      <w:r>
        <w:t>1.保证期间届满，你方未向我方书面主张保证责任的，自保证期间届满次日起，我方保证责任自动终止。</w:t>
      </w:r>
    </w:p>
    <w:p>
      <w:pPr>
        <w:ind w:firstLine="480"/>
      </w:pPr>
      <w:r>
        <w:t>2.我方按照本保函向你方履行了保证责任后，自我方向你方支付款项（支付款项从我方账户划出）之日起，保证责任终止。</w:t>
      </w:r>
    </w:p>
    <w:p>
      <w:pPr>
        <w:ind w:firstLine="480"/>
      </w:pPr>
      <w:r>
        <w:t>3.按照法律法规的规定或出现我方保证责任终止的其它情形的，我方在本保函项下的保证责任终止。</w:t>
      </w:r>
    </w:p>
    <w:p>
      <w:pPr>
        <w:ind w:firstLine="480"/>
      </w:pPr>
      <w:r>
        <w:t>五、免责条款</w:t>
      </w:r>
    </w:p>
    <w:p>
      <w:pPr>
        <w:ind w:firstLine="480"/>
      </w:pPr>
      <w:r>
        <w:t>1.依照法律规定或你方与投标（响应）人的另行约定，全部或者部分免除投标（响应）人投标（响应）保证金义务时，我方亦免除相应的保证责任。</w:t>
      </w:r>
    </w:p>
    <w:p>
      <w:pPr>
        <w:ind w:firstLine="480"/>
      </w:pPr>
      <w:r>
        <w:t>2.因你方原因致使投标（响应）人发生本保函第一条第（一）款约定情形的，我方不承担保证责任。</w:t>
      </w:r>
    </w:p>
    <w:p>
      <w:pPr>
        <w:ind w:firstLine="480"/>
      </w:pPr>
      <w:r>
        <w:t>3.因不可抗力造成投标（响应）人发生本保函第一条约定情形的，我方不承担保证责任。</w:t>
      </w:r>
    </w:p>
    <w:p>
      <w:pPr>
        <w:ind w:firstLine="480"/>
      </w:pPr>
      <w:r>
        <w:t>4.你方或其他有权机关对采购文件进行任何澄清或修改，加重我方保证责任的，我方对加重部分不承担保证责任，但该澄清或修改经我方事先书面同意的除外。</w:t>
      </w:r>
    </w:p>
    <w:p>
      <w:pPr>
        <w:ind w:firstLine="480"/>
      </w:pPr>
      <w:r>
        <w:t>六、争议的解决</w:t>
      </w:r>
    </w:p>
    <w:p>
      <w:pPr>
        <w:ind w:firstLine="480"/>
      </w:pPr>
      <w:r>
        <w:t>因本保函发生的纠纷，由你我双方协商解决，协商不成的，通过诉讼程序解决，诉讼管辖地法院为 法院。</w:t>
      </w:r>
    </w:p>
    <w:p>
      <w:pPr>
        <w:ind w:firstLine="480"/>
      </w:pPr>
      <w:r>
        <w:t>七、保函的生效</w:t>
      </w:r>
    </w:p>
    <w:p>
      <w:pPr>
        <w:ind w:firstLine="480"/>
      </w:pPr>
      <w:r>
        <w:t>本保函自我方加盖公章之日起生效。</w:t>
      </w:r>
    </w:p>
    <w:p>
      <w:pPr>
        <w:ind w:firstLine="480"/>
      </w:pPr>
    </w:p>
    <w:p>
      <w:r>
        <w:t>保证人：_______（公章）_______</w:t>
      </w:r>
    </w:p>
    <w:p>
      <w:r>
        <w:t>联系人：____________________</w:t>
      </w:r>
    </w:p>
    <w:p>
      <w:r>
        <w:t>联系电话：____________________</w:t>
      </w:r>
    </w:p>
    <w:p>
      <w:r>
        <w:t>___年___月___日</w:t>
      </w:r>
    </w:p>
    <w:p>
      <w:pPr>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F994BB0"/>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68</Pages>
  <Words>46793</Words>
  <Characters>51899</Characters>
  <Lines>0</Lines>
  <Paragraphs>0</Paragraphs>
  <TotalTime>2</TotalTime>
  <ScaleCrop>false</ScaleCrop>
  <LinksUpToDate>false</LinksUpToDate>
  <CharactersWithSpaces>52587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dcterms:modified xsi:type="dcterms:W3CDTF">2022-08-01T08:20:27Z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91A6BAE4D5284B72A06B002BCE3B9AB2</vt:lpwstr>
  </property>
</Properties>
</file>