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pacing w:val="20"/>
          <w:kern w:val="10"/>
          <w:sz w:val="48"/>
          <w:szCs w:val="48"/>
        </w:rPr>
      </w:pPr>
      <w:r>
        <w:rPr>
          <w:rFonts w:hint="eastAsia" w:ascii="宋体" w:hAnsi="宋体"/>
          <w:b/>
          <w:sz w:val="84"/>
          <w:szCs w:val="84"/>
        </w:rPr>
        <w:t>云浮市云城区臻汇园碧湖新城住宅小区（A区）物业管理服务项目</w:t>
      </w:r>
    </w:p>
    <w:p>
      <w:pPr>
        <w:snapToGrid w:val="0"/>
        <w:jc w:val="center"/>
        <w:rPr>
          <w:rFonts w:ascii="宋体" w:hAnsi="宋体"/>
          <w:b/>
          <w:spacing w:val="20"/>
          <w:kern w:val="10"/>
          <w:sz w:val="48"/>
          <w:szCs w:val="48"/>
        </w:rPr>
      </w:pPr>
    </w:p>
    <w:p>
      <w:pPr>
        <w:spacing w:line="1200" w:lineRule="auto"/>
        <w:jc w:val="center"/>
        <w:rPr>
          <w:rFonts w:ascii="宋体" w:hAnsi="宋体"/>
          <w:spacing w:val="26"/>
          <w:sz w:val="84"/>
          <w:szCs w:val="84"/>
        </w:rPr>
      </w:pPr>
      <w:r>
        <w:rPr>
          <w:rFonts w:hint="eastAsia" w:ascii="宋体" w:hAnsi="宋体"/>
          <w:spacing w:val="26"/>
          <w:sz w:val="84"/>
          <w:szCs w:val="84"/>
        </w:rPr>
        <w:t>磋</w:t>
      </w:r>
    </w:p>
    <w:p>
      <w:pPr>
        <w:spacing w:line="1200" w:lineRule="auto"/>
        <w:jc w:val="center"/>
        <w:rPr>
          <w:rFonts w:ascii="宋体" w:hAnsi="宋体"/>
          <w:spacing w:val="26"/>
          <w:sz w:val="84"/>
          <w:szCs w:val="84"/>
        </w:rPr>
      </w:pPr>
      <w:r>
        <w:rPr>
          <w:rFonts w:hint="eastAsia" w:ascii="宋体" w:hAnsi="宋体"/>
          <w:spacing w:val="26"/>
          <w:sz w:val="84"/>
          <w:szCs w:val="84"/>
        </w:rPr>
        <w:t>商</w:t>
      </w:r>
    </w:p>
    <w:p>
      <w:pPr>
        <w:spacing w:line="1200" w:lineRule="auto"/>
        <w:jc w:val="center"/>
        <w:rPr>
          <w:rFonts w:ascii="宋体" w:hAnsi="宋体"/>
          <w:spacing w:val="26"/>
          <w:sz w:val="84"/>
          <w:szCs w:val="84"/>
        </w:rPr>
      </w:pPr>
      <w:r>
        <w:rPr>
          <w:rFonts w:hint="eastAsia" w:ascii="宋体" w:hAnsi="宋体"/>
          <w:spacing w:val="26"/>
          <w:sz w:val="84"/>
          <w:szCs w:val="84"/>
        </w:rPr>
        <w:t>文</w:t>
      </w:r>
    </w:p>
    <w:p>
      <w:pPr>
        <w:spacing w:line="1200" w:lineRule="auto"/>
        <w:jc w:val="center"/>
        <w:rPr>
          <w:rFonts w:ascii="宋体" w:hAnsi="宋体"/>
          <w:spacing w:val="26"/>
          <w:sz w:val="84"/>
          <w:szCs w:val="84"/>
        </w:rPr>
      </w:pPr>
      <w:r>
        <w:rPr>
          <w:rFonts w:hint="eastAsia" w:ascii="宋体" w:hAnsi="宋体"/>
          <w:spacing w:val="26"/>
          <w:sz w:val="84"/>
          <w:szCs w:val="84"/>
        </w:rPr>
        <w:t>件</w:t>
      </w:r>
    </w:p>
    <w:p>
      <w:pPr>
        <w:snapToGrid w:val="0"/>
        <w:jc w:val="center"/>
        <w:rPr>
          <w:rFonts w:ascii="宋体" w:hAnsi="宋体"/>
          <w:b/>
          <w:spacing w:val="20"/>
          <w:kern w:val="10"/>
          <w:sz w:val="52"/>
          <w:szCs w:val="52"/>
        </w:rPr>
      </w:pPr>
    </w:p>
    <w:p>
      <w:pPr>
        <w:jc w:val="center"/>
        <w:rPr>
          <w:rFonts w:ascii="宋体" w:hAnsi="宋体"/>
          <w:b/>
          <w:sz w:val="30"/>
          <w:szCs w:val="30"/>
        </w:rPr>
      </w:pPr>
      <w:r>
        <w:rPr>
          <w:rFonts w:hint="eastAsia" w:ascii="宋体" w:hAnsi="宋体"/>
          <w:b/>
          <w:sz w:val="30"/>
          <w:szCs w:val="30"/>
        </w:rPr>
        <w:t>采购编号：GDXJ19FCS1001</w:t>
      </w:r>
    </w:p>
    <w:p>
      <w:pPr>
        <w:spacing w:line="360" w:lineRule="auto"/>
        <w:jc w:val="center"/>
        <w:textAlignment w:val="top"/>
        <w:rPr>
          <w:rFonts w:ascii="宋体" w:hAnsi="宋体"/>
          <w:b/>
          <w:spacing w:val="100"/>
          <w:sz w:val="32"/>
          <w:szCs w:val="32"/>
        </w:rPr>
      </w:pPr>
      <w:r>
        <w:rPr>
          <w:rFonts w:hint="eastAsia" w:ascii="宋体" w:hAnsi="宋体"/>
          <w:b/>
          <w:spacing w:val="100"/>
          <w:sz w:val="32"/>
          <w:szCs w:val="32"/>
        </w:rPr>
        <w:t>广东晓君招标采购代理有限公司</w:t>
      </w:r>
    </w:p>
    <w:p>
      <w:pPr>
        <w:pStyle w:val="15"/>
        <w:jc w:val="center"/>
        <w:rPr>
          <w:rFonts w:ascii="宋体" w:hAnsi="宋体"/>
          <w:b/>
          <w:spacing w:val="40"/>
          <w:sz w:val="36"/>
          <w:szCs w:val="36"/>
        </w:rPr>
      </w:pPr>
      <w:r>
        <w:rPr>
          <w:rFonts w:hint="eastAsia" w:ascii="宋体" w:hAnsi="宋体"/>
          <w:b/>
          <w:spacing w:val="40"/>
          <w:sz w:val="36"/>
          <w:szCs w:val="36"/>
        </w:rPr>
        <w:t>2019年3月</w:t>
      </w: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宋体" w:hAnsi="宋体"/>
          <w:b/>
          <w:sz w:val="44"/>
        </w:rPr>
      </w:pPr>
      <w:r>
        <w:rPr>
          <w:rFonts w:hint="eastAsia" w:ascii="宋体" w:hAnsi="宋体"/>
          <w:b/>
          <w:sz w:val="44"/>
        </w:rPr>
        <w:t>目   录</w:t>
      </w:r>
    </w:p>
    <w:p>
      <w:pPr>
        <w:spacing w:line="360" w:lineRule="auto"/>
        <w:rPr>
          <w:rFonts w:ascii="宋体" w:hAnsi="宋体"/>
          <w:b/>
          <w:sz w:val="44"/>
        </w:rPr>
      </w:pPr>
    </w:p>
    <w:p>
      <w:pPr>
        <w:spacing w:line="360" w:lineRule="auto"/>
        <w:rPr>
          <w:rFonts w:ascii="宋体" w:hAnsi="宋体"/>
          <w:sz w:val="30"/>
          <w:szCs w:val="30"/>
        </w:rPr>
      </w:pPr>
      <w:r>
        <w:rPr>
          <w:rFonts w:hint="eastAsia" w:ascii="宋体" w:hAnsi="宋体"/>
          <w:sz w:val="30"/>
          <w:szCs w:val="30"/>
        </w:rPr>
        <w:t>第一部分:报价邀请函………………………………………………1-1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第二部分:报价人须知………………………………………………2-1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第三部分:用户需求书………………………………………………3-1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第四部分:合同条款…………………………………………………4-1</w:t>
      </w:r>
    </w:p>
    <w:p>
      <w:pPr>
        <w:spacing w:line="360" w:lineRule="auto"/>
        <w:rPr>
          <w:rFonts w:ascii="宋体" w:hAnsi="宋体"/>
          <w:sz w:val="30"/>
          <w:szCs w:val="30"/>
        </w:rPr>
      </w:pPr>
    </w:p>
    <w:p>
      <w:pPr>
        <w:spacing w:line="360" w:lineRule="auto"/>
        <w:rPr>
          <w:rFonts w:ascii="宋体" w:hAnsi="宋体"/>
          <w:sz w:val="30"/>
          <w:szCs w:val="30"/>
        </w:rPr>
        <w:sectPr>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磋 商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ascii="宋体" w:hAnsi="宋体"/>
        </w:rPr>
      </w:pPr>
    </w:p>
    <w:p>
      <w:pPr>
        <w:pStyle w:val="13"/>
        <w:snapToGrid w:val="0"/>
        <w:spacing w:after="0" w:line="480" w:lineRule="exact"/>
        <w:ind w:left="0" w:leftChars="0" w:firstLine="411" w:firstLineChars="196"/>
        <w:rPr>
          <w:rFonts w:ascii="宋体" w:hAnsi="宋体" w:cs="Tahoma"/>
          <w:kern w:val="28"/>
        </w:rPr>
      </w:pPr>
      <w:bookmarkStart w:id="49" w:name="_GoBack"/>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rPr>
        <w:t>云浮市云城区臻汇园碧湖新城住宅小区（A区）业主委员会</w:t>
      </w:r>
      <w:r>
        <w:rPr>
          <w:rFonts w:ascii="宋体" w:hAnsi="宋体" w:cs="Tahoma"/>
        </w:rPr>
        <w:t>（以下简称“采购人”）的委托，</w:t>
      </w:r>
      <w:r>
        <w:rPr>
          <w:rFonts w:hint="eastAsia" w:ascii="宋体" w:hAnsi="宋体" w:cs="Tahoma"/>
          <w:kern w:val="28"/>
        </w:rPr>
        <w:t>对云浮市云城区臻汇园碧湖新城住宅小区（A区）物业管理服务项目（编号：</w:t>
      </w:r>
      <w:r>
        <w:rPr>
          <w:rFonts w:hint="eastAsia" w:ascii="宋体" w:hAnsi="宋体"/>
        </w:rPr>
        <w:t>GDXJ19FCS1001</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snapToGrid w:val="0"/>
        <w:spacing w:line="480" w:lineRule="exact"/>
        <w:outlineLvl w:val="0"/>
        <w:rPr>
          <w:rFonts w:ascii="宋体" w:hAnsi="宋体" w:cs="Tahoma"/>
          <w:b/>
        </w:rPr>
      </w:pPr>
      <w:r>
        <w:rPr>
          <w:rFonts w:hint="eastAsia" w:ascii="宋体" w:hAnsi="宋体" w:cs="Tahoma"/>
        </w:rPr>
        <w:t>一、磋商项目的</w:t>
      </w:r>
      <w:r>
        <w:rPr>
          <w:rFonts w:hint="eastAsia" w:ascii="宋体" w:hAnsi="宋体"/>
        </w:rPr>
        <w:t>名称、用途、数量、简要技术要求或者招标项目的性质</w:t>
      </w:r>
    </w:p>
    <w:p>
      <w:pPr>
        <w:spacing w:line="480" w:lineRule="exact"/>
        <w:rPr>
          <w:rFonts w:ascii="宋体" w:hAnsi="宋体"/>
          <w:szCs w:val="21"/>
        </w:rPr>
      </w:pPr>
      <w:r>
        <w:rPr>
          <w:rFonts w:hint="eastAsia" w:ascii="宋体" w:hAnsi="宋体" w:cs="Tahoma"/>
          <w:kern w:val="28"/>
        </w:rPr>
        <w:t>1、项目名称：</w:t>
      </w:r>
      <w:r>
        <w:rPr>
          <w:rFonts w:hint="eastAsia" w:ascii="宋体" w:hAnsi="宋体"/>
          <w:szCs w:val="21"/>
        </w:rPr>
        <w:t>云浮市云城区臻汇园碧湖新城住宅小区（A区）物业管理服务项目</w:t>
      </w:r>
    </w:p>
    <w:p>
      <w:pPr>
        <w:spacing w:line="480" w:lineRule="exact"/>
        <w:rPr>
          <w:rFonts w:ascii="宋体" w:hAnsi="宋体"/>
          <w:szCs w:val="21"/>
        </w:rPr>
      </w:pPr>
      <w:r>
        <w:rPr>
          <w:rFonts w:hint="eastAsia" w:ascii="宋体" w:hAnsi="宋体"/>
          <w:szCs w:val="21"/>
        </w:rPr>
        <w:t>2、项目类别：服务类，</w:t>
      </w:r>
      <w:r>
        <w:rPr>
          <w:rFonts w:hint="eastAsia"/>
        </w:rPr>
        <w:t>采购本国服务。</w:t>
      </w:r>
    </w:p>
    <w:p>
      <w:pPr>
        <w:spacing w:line="480" w:lineRule="exact"/>
        <w:rPr>
          <w:rFonts w:ascii="宋体" w:hAnsi="宋体" w:cs="Tahoma"/>
          <w:kern w:val="28"/>
        </w:rPr>
      </w:pPr>
      <w:r>
        <w:rPr>
          <w:rFonts w:hint="eastAsia" w:ascii="宋体" w:hAnsi="宋体" w:cs="Tahoma"/>
          <w:kern w:val="28"/>
        </w:rPr>
        <w:t>3、项目数量：一项（详见用户需求书）</w:t>
      </w:r>
    </w:p>
    <w:p>
      <w:pPr>
        <w:spacing w:line="480" w:lineRule="exact"/>
        <w:rPr>
          <w:rFonts w:ascii="宋体" w:hAnsi="宋体" w:cs="Arial"/>
        </w:rPr>
      </w:pPr>
      <w:r>
        <w:rPr>
          <w:rFonts w:hint="eastAsia" w:ascii="宋体" w:hAnsi="宋体" w:cs="Tahoma"/>
          <w:kern w:val="28"/>
        </w:rPr>
        <w:t>4、用途：</w:t>
      </w:r>
      <w:r>
        <w:rPr>
          <w:rFonts w:hint="eastAsia" w:ascii="宋体" w:hAnsi="宋体" w:cs="Arial"/>
        </w:rPr>
        <w:t>详见用户需求书。</w:t>
      </w:r>
    </w:p>
    <w:p>
      <w:pPr>
        <w:spacing w:line="480" w:lineRule="exact"/>
      </w:pPr>
      <w:r>
        <w:rPr>
          <w:rFonts w:hint="eastAsia" w:ascii="宋体" w:hAnsi="宋体" w:cs="Tahoma"/>
          <w:kern w:val="28"/>
          <w:szCs w:val="21"/>
        </w:rPr>
        <w:t>5、</w:t>
      </w:r>
      <w:r>
        <w:rPr>
          <w:rFonts w:hint="eastAsia"/>
        </w:rPr>
        <w:t>项目内容及需求(</w:t>
      </w:r>
      <w:r>
        <w:rPr>
          <w:rFonts w:hint="eastAsia" w:ascii="宋体" w:hAnsi="宋体"/>
          <w:szCs w:val="21"/>
        </w:rPr>
        <w:t>招标项目内容、资格服务商数量、服务期限、招标项目的性质及要求</w:t>
      </w:r>
      <w:r>
        <w:rPr>
          <w:rFonts w:hint="eastAsia"/>
        </w:rPr>
        <w:t xml:space="preserve">等) </w:t>
      </w:r>
    </w:p>
    <w:p>
      <w:pPr>
        <w:spacing w:line="480" w:lineRule="exact"/>
        <w:ind w:left="15" w:hanging="14" w:hangingChars="7"/>
        <w:rPr>
          <w:rFonts w:ascii="宋体" w:hAnsi="宋体"/>
          <w:bCs/>
          <w:szCs w:val="21"/>
        </w:rPr>
      </w:pPr>
      <w:r>
        <w:rPr>
          <w:rFonts w:hint="eastAsia" w:ascii="宋体" w:hAnsi="宋体"/>
          <w:szCs w:val="21"/>
        </w:rPr>
        <w:t>5.1、招标项目内容：云浮市云城区臻汇园碧湖新城住宅小区（A区）小区物业管理</w:t>
      </w:r>
      <w:r>
        <w:rPr>
          <w:rFonts w:hint="eastAsia" w:ascii="宋体" w:hAnsi="宋体"/>
          <w:bCs/>
          <w:szCs w:val="21"/>
        </w:rPr>
        <w:t>。</w:t>
      </w:r>
    </w:p>
    <w:p>
      <w:pPr>
        <w:spacing w:line="480" w:lineRule="exact"/>
        <w:ind w:left="15" w:hanging="14" w:hangingChars="7"/>
        <w:rPr>
          <w:rFonts w:ascii="宋体" w:hAnsi="宋体"/>
          <w:szCs w:val="21"/>
        </w:rPr>
      </w:pPr>
      <w:r>
        <w:rPr>
          <w:rFonts w:hint="eastAsia" w:ascii="宋体" w:hAnsi="宋体"/>
          <w:szCs w:val="21"/>
        </w:rPr>
        <w:t>5.2、</w:t>
      </w:r>
      <w:bookmarkStart w:id="1" w:name="_Hlt279048220"/>
      <w:bookmarkStart w:id="2" w:name="_Hlt278987769"/>
      <w:r>
        <w:rPr>
          <w:rFonts w:hint="eastAsia" w:ascii="宋体" w:hAnsi="宋体"/>
          <w:szCs w:val="21"/>
        </w:rPr>
        <w:t>资格服务商</w:t>
      </w:r>
      <w:bookmarkEnd w:id="1"/>
      <w:r>
        <w:rPr>
          <w:rFonts w:hint="eastAsia" w:ascii="宋体" w:hAnsi="宋体"/>
          <w:szCs w:val="21"/>
        </w:rPr>
        <w:t>数量：1家。</w:t>
      </w:r>
      <w:bookmarkEnd w:id="2"/>
    </w:p>
    <w:p>
      <w:pPr>
        <w:spacing w:line="480" w:lineRule="exact"/>
        <w:ind w:left="15" w:hanging="14" w:hangingChars="7"/>
        <w:rPr>
          <w:rFonts w:ascii="宋体" w:hAnsi="宋体"/>
          <w:szCs w:val="21"/>
        </w:rPr>
      </w:pPr>
      <w:r>
        <w:rPr>
          <w:rFonts w:hint="eastAsia" w:ascii="宋体" w:hAnsi="宋体"/>
          <w:szCs w:val="21"/>
        </w:rPr>
        <w:t>5.3、</w:t>
      </w:r>
      <w:bookmarkStart w:id="3" w:name="_Hlt279048289"/>
      <w:r>
        <w:rPr>
          <w:rFonts w:hint="eastAsia" w:ascii="宋体" w:hAnsi="宋体"/>
          <w:szCs w:val="21"/>
        </w:rPr>
        <w:t>服务期限：60个月（根据合同约定日期开始计算）。</w:t>
      </w:r>
      <w:bookmarkEnd w:id="3"/>
    </w:p>
    <w:p>
      <w:pPr>
        <w:spacing w:line="480" w:lineRule="exact"/>
        <w:ind w:left="15" w:hanging="14" w:hangingChars="7"/>
        <w:rPr>
          <w:rFonts w:ascii="宋体" w:hAnsi="宋体" w:cs="Tahoma"/>
          <w:kern w:val="28"/>
        </w:rPr>
      </w:pPr>
      <w:r>
        <w:rPr>
          <w:rFonts w:hint="eastAsia" w:ascii="宋体" w:hAnsi="宋体"/>
          <w:szCs w:val="21"/>
        </w:rPr>
        <w:t>5.4、招标项目的性质及要求：</w:t>
      </w:r>
      <w:bookmarkStart w:id="4" w:name="_Hlt279051378"/>
      <w:r>
        <w:rPr>
          <w:rFonts w:hint="eastAsia" w:ascii="宋体" w:hAnsi="宋体"/>
          <w:szCs w:val="21"/>
        </w:rPr>
        <w:t>本项目为一个整体，报价人须对本项目全部内容进行响应，不得分拆项目，且要提供完整的技术资料</w:t>
      </w:r>
      <w:bookmarkEnd w:id="4"/>
      <w:r>
        <w:rPr>
          <w:rFonts w:hint="eastAsia" w:ascii="宋体" w:hAnsi="宋体"/>
          <w:szCs w:val="21"/>
        </w:rPr>
        <w:t>（详见第三章用户需求书）。</w:t>
      </w:r>
    </w:p>
    <w:p>
      <w:pPr>
        <w:spacing w:line="480" w:lineRule="exact"/>
        <w:ind w:left="15" w:hanging="14" w:hangingChars="7"/>
      </w:pPr>
      <w:r>
        <w:rPr>
          <w:rFonts w:hint="eastAsia"/>
        </w:rPr>
        <w:t>5.5、 本次代理招标采购的相关服务项目，属非政府采购项目，</w:t>
      </w:r>
      <w:r>
        <w:rPr>
          <w:rFonts w:cs="宋体"/>
          <w:szCs w:val="21"/>
        </w:rPr>
        <w:t>参照政府采购程序进行采购活动</w:t>
      </w:r>
      <w:r>
        <w:rPr>
          <w:rFonts w:hint="eastAsia"/>
        </w:rPr>
        <w:t>。</w:t>
      </w:r>
    </w:p>
    <w:p>
      <w:pPr>
        <w:spacing w:line="480" w:lineRule="exact"/>
        <w:ind w:left="15" w:hanging="14" w:hangingChars="7"/>
      </w:pPr>
      <w:r>
        <w:rPr>
          <w:rFonts w:hint="eastAsia"/>
        </w:rPr>
        <w:t>5.6、 监管部门：云浮市云城区臻汇园碧湖新城住宅小区（A区）业主委员会。</w:t>
      </w:r>
    </w:p>
    <w:p>
      <w:pPr>
        <w:spacing w:line="480" w:lineRule="exact"/>
      </w:pPr>
      <w:r>
        <w:rPr>
          <w:rFonts w:hint="eastAsia" w:ascii="宋体" w:hAnsi="宋体"/>
          <w:b/>
          <w:bCs/>
          <w:szCs w:val="21"/>
        </w:rPr>
        <w:t>报价人应对项目内所有内容进行投标，不允许只对项目部分内容进行投标</w:t>
      </w:r>
      <w:r>
        <w:rPr>
          <w:rFonts w:hint="eastAsia" w:ascii="宋体" w:hAnsi="宋体" w:cs="Tahoma"/>
          <w:kern w:val="28"/>
        </w:rPr>
        <w:t>。</w:t>
      </w:r>
    </w:p>
    <w:p>
      <w:pPr>
        <w:snapToGrid w:val="0"/>
        <w:spacing w:line="480" w:lineRule="exact"/>
        <w:outlineLvl w:val="0"/>
        <w:rPr>
          <w:rFonts w:ascii="宋体" w:hAnsi="宋体" w:cs="Tahoma"/>
          <w:b/>
        </w:rPr>
      </w:pPr>
      <w:r>
        <w:rPr>
          <w:rFonts w:hint="eastAsia" w:ascii="宋体" w:hAnsi="宋体" w:cs="Tahoma"/>
          <w:b/>
        </w:rPr>
        <w:t>二、合格报价人资格条件</w:t>
      </w:r>
    </w:p>
    <w:p>
      <w:pPr>
        <w:spacing w:line="480" w:lineRule="exact"/>
        <w:rPr>
          <w:rFonts w:ascii="宋体" w:hAnsi="宋体" w:cs="宋体"/>
          <w:szCs w:val="21"/>
        </w:rPr>
      </w:pPr>
      <w:r>
        <w:rPr>
          <w:rFonts w:hint="eastAsia" w:ascii="宋体" w:hAnsi="宋体" w:cs="宋体"/>
          <w:szCs w:val="21"/>
        </w:rPr>
        <w:t>1、报价人具有独立承担民事责任能力的在中华人民共和国境内注册的法人，具有从事本项目经营范围和能力；</w:t>
      </w:r>
    </w:p>
    <w:p>
      <w:pPr>
        <w:spacing w:line="480" w:lineRule="exact"/>
        <w:rPr>
          <w:rFonts w:ascii="宋体" w:hAnsi="宋体" w:cs="宋体"/>
          <w:szCs w:val="21"/>
        </w:rPr>
      </w:pPr>
      <w:r>
        <w:rPr>
          <w:rFonts w:hint="eastAsia" w:ascii="宋体" w:hAnsi="宋体" w:cs="宋体"/>
          <w:szCs w:val="21"/>
        </w:rPr>
        <w:t>2、</w:t>
      </w:r>
      <w:r>
        <w:rPr>
          <w:rFonts w:hint="eastAsia" w:ascii="宋体" w:hAnsi="宋体" w:cs="宋体"/>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r>
        <w:rPr>
          <w:rFonts w:hint="eastAsia" w:ascii="宋体" w:hAnsi="宋体" w:cs="宋体"/>
          <w:szCs w:val="21"/>
        </w:rPr>
        <w:t xml:space="preserve">。 </w:t>
      </w:r>
    </w:p>
    <w:p>
      <w:pPr>
        <w:spacing w:line="480" w:lineRule="exact"/>
        <w:rPr>
          <w:rFonts w:ascii="宋体" w:hAnsi="宋体" w:cs="宋体"/>
          <w:szCs w:val="21"/>
        </w:rPr>
      </w:pPr>
      <w:r>
        <w:rPr>
          <w:rFonts w:hint="eastAsia" w:ascii="宋体" w:hAnsi="宋体" w:cs="宋体"/>
          <w:szCs w:val="21"/>
        </w:rPr>
        <w:t>3、为采购项目提供整体设计、规范编制或者项目管理、监理、检测等服务的供应商，不得再参加该采购项目的其他采购活动。（提供《承诺书》）</w:t>
      </w:r>
    </w:p>
    <w:p>
      <w:pPr>
        <w:spacing w:line="480" w:lineRule="exact"/>
        <w:rPr>
          <w:rFonts w:ascii="宋体" w:hAnsi="宋体" w:cs="宋体"/>
          <w:szCs w:val="21"/>
        </w:rPr>
      </w:pPr>
      <w:r>
        <w:rPr>
          <w:rFonts w:hint="eastAsia" w:ascii="宋体" w:hAnsi="宋体" w:cs="宋体"/>
          <w:szCs w:val="21"/>
        </w:rPr>
        <w:t>4、</w:t>
      </w:r>
      <w:r>
        <w:rPr>
          <w:rFonts w:hint="eastAsia" w:ascii="宋体" w:hAnsi="宋体" w:cs="宋体"/>
        </w:rPr>
        <w:t>单位负责人为同一人或者存在直接控股、管理关系的不同供应商，不得参加同一合同项下的采购活动（以报价人完整提供在国家企业信用信息公示系统www.gsxt.gov.cn的查询结果页面“信息打印”内容并加盖公章为准）</w:t>
      </w:r>
    </w:p>
    <w:p>
      <w:pPr>
        <w:spacing w:line="480" w:lineRule="exact"/>
        <w:rPr>
          <w:rFonts w:ascii="宋体" w:hAnsi="宋体" w:cs="宋体"/>
        </w:rPr>
      </w:pPr>
      <w:r>
        <w:rPr>
          <w:rFonts w:hint="eastAsia" w:ascii="宋体" w:hAnsi="宋体" w:cs="宋体"/>
          <w:szCs w:val="21"/>
        </w:rPr>
        <w:t>5、符合《中华人</w:t>
      </w:r>
      <w:r>
        <w:rPr>
          <w:rFonts w:hint="eastAsia" w:ascii="宋体" w:hAnsi="宋体" w:cs="宋体"/>
        </w:rPr>
        <w:t>民共和国政府采购法》第二十二条规定；</w:t>
      </w:r>
    </w:p>
    <w:p>
      <w:pPr>
        <w:spacing w:line="480" w:lineRule="exact"/>
        <w:rPr>
          <w:rFonts w:ascii="宋体" w:hAnsi="宋体" w:cs="宋体"/>
        </w:rPr>
      </w:pPr>
      <w:r>
        <w:rPr>
          <w:rFonts w:hint="eastAsia" w:ascii="宋体" w:hAnsi="宋体" w:cs="宋体"/>
        </w:rPr>
        <w:t>6、本项目不接受联合体投标；</w:t>
      </w:r>
    </w:p>
    <w:p>
      <w:pPr>
        <w:spacing w:line="480" w:lineRule="exact"/>
        <w:rPr>
          <w:rFonts w:ascii="宋体" w:hAnsi="宋体" w:cs="宋体"/>
        </w:rPr>
      </w:pPr>
      <w:r>
        <w:rPr>
          <w:rFonts w:hint="eastAsia" w:ascii="宋体" w:hAnsi="宋体" w:cs="宋体"/>
        </w:rPr>
        <w:t>7、根据臻汇园碧湖新城住宅（A区）第二次业主大会表决结果：不予接受正为本项目提供服务的物业公司及其分公司参与本次采购事项。</w:t>
      </w:r>
    </w:p>
    <w:p>
      <w:pPr>
        <w:spacing w:line="480" w:lineRule="exact"/>
        <w:rPr>
          <w:rFonts w:ascii="宋体" w:hAnsi="宋体" w:cs="宋体"/>
        </w:rPr>
      </w:pPr>
      <w:r>
        <w:rPr>
          <w:rFonts w:hint="eastAsia" w:ascii="宋体" w:hAnsi="宋体" w:cs="宋体"/>
        </w:rPr>
        <w:t>符合以上要求的供应商，磋商小组以公开报名的方式确定其报价资格。</w:t>
      </w:r>
    </w:p>
    <w:p>
      <w:pPr>
        <w:spacing w:line="480" w:lineRule="exact"/>
        <w:rPr>
          <w:rFonts w:ascii="宋体" w:hAnsi="宋体" w:cs="宋体"/>
        </w:rPr>
      </w:pPr>
      <w:r>
        <w:rPr>
          <w:rFonts w:hint="eastAsia" w:ascii="宋体" w:hAnsi="宋体" w:cs="宋体"/>
        </w:rPr>
        <w:t>三、</w:t>
      </w:r>
      <w:r>
        <w:rPr>
          <w:rFonts w:hint="eastAsia" w:ascii="宋体" w:hAnsi="宋体" w:cs="宋体"/>
          <w:lang w:val="en-US" w:eastAsia="zh-CN"/>
        </w:rPr>
        <w:t>报名、</w:t>
      </w:r>
      <w:r>
        <w:rPr>
          <w:rFonts w:hint="eastAsia" w:ascii="宋体" w:hAnsi="宋体" w:cs="宋体"/>
        </w:rPr>
        <w:t>获取磋商文件的时间、地点、方式及报名费</w:t>
      </w:r>
    </w:p>
    <w:p>
      <w:pPr>
        <w:spacing w:line="480" w:lineRule="exact"/>
        <w:ind w:firstLine="210" w:firstLineChars="100"/>
        <w:rPr>
          <w:rFonts w:ascii="宋体" w:hAnsi="宋体" w:cs="Tahoma"/>
        </w:rPr>
      </w:pPr>
      <w:r>
        <w:rPr>
          <w:rFonts w:hint="eastAsia" w:ascii="宋体" w:hAnsi="宋体" w:cs="宋体"/>
        </w:rPr>
        <w:t>1、</w:t>
      </w:r>
      <w:r>
        <w:rPr>
          <w:rFonts w:hint="eastAsia" w:ascii="宋体" w:hAnsi="宋体" w:cs="宋体"/>
          <w:lang w:val="en-US" w:eastAsia="zh-CN"/>
        </w:rPr>
        <w:t>报名</w:t>
      </w:r>
      <w:r>
        <w:rPr>
          <w:rFonts w:ascii="宋体" w:hAnsi="宋体" w:cs="宋体"/>
        </w:rPr>
        <w:t>时间：</w:t>
      </w:r>
      <w:r>
        <w:rPr>
          <w:rFonts w:hint="eastAsia" w:ascii="宋体" w:hAnsi="宋体" w:cs="宋体"/>
        </w:rPr>
        <w:t>2019年</w:t>
      </w:r>
      <w:r>
        <w:rPr>
          <w:rFonts w:hint="eastAsia" w:ascii="宋体" w:hAnsi="宋体" w:cs="宋体"/>
          <w:lang w:val="en-US" w:eastAsia="zh-CN"/>
        </w:rPr>
        <w:t>3</w:t>
      </w:r>
      <w:r>
        <w:rPr>
          <w:rFonts w:hint="eastAsia" w:ascii="宋体" w:hAnsi="宋体" w:cs="宋体"/>
        </w:rPr>
        <w:t>月</w:t>
      </w:r>
      <w:r>
        <w:rPr>
          <w:rFonts w:hint="eastAsia" w:ascii="宋体" w:hAnsi="宋体" w:cs="宋体"/>
          <w:lang w:val="en-US" w:eastAsia="zh-CN"/>
        </w:rPr>
        <w:t>13</w:t>
      </w:r>
      <w:r>
        <w:rPr>
          <w:rFonts w:hint="eastAsia" w:ascii="宋体" w:hAnsi="宋体" w:cs="宋体"/>
        </w:rPr>
        <w:t>日至2019年</w:t>
      </w:r>
      <w:r>
        <w:rPr>
          <w:rFonts w:hint="eastAsia" w:ascii="宋体" w:hAnsi="宋体" w:cs="宋体"/>
          <w:lang w:val="en-US" w:eastAsia="zh-CN"/>
        </w:rPr>
        <w:t>3</w:t>
      </w:r>
      <w:r>
        <w:rPr>
          <w:rFonts w:hint="eastAsia" w:ascii="宋体" w:hAnsi="宋体" w:cs="宋体"/>
        </w:rPr>
        <w:t>月</w:t>
      </w:r>
      <w:r>
        <w:rPr>
          <w:rFonts w:hint="eastAsia" w:ascii="宋体" w:hAnsi="宋体" w:cs="宋体"/>
          <w:lang w:val="en-US" w:eastAsia="zh-CN"/>
        </w:rPr>
        <w:t>19</w:t>
      </w:r>
      <w:r>
        <w:rPr>
          <w:rFonts w:hint="eastAsia" w:ascii="宋体" w:hAnsi="宋体" w:cs="宋体"/>
        </w:rPr>
        <w:t>日08：30-17：3</w:t>
      </w:r>
      <w:r>
        <w:rPr>
          <w:rFonts w:hint="eastAsia" w:ascii="宋体" w:hAnsi="宋体" w:cs="Tahoma"/>
          <w:kern w:val="28"/>
        </w:rPr>
        <w:t>0（工作时间）。</w:t>
      </w:r>
    </w:p>
    <w:p>
      <w:pPr>
        <w:snapToGrid w:val="0"/>
        <w:spacing w:line="480" w:lineRule="exact"/>
        <w:ind w:firstLine="210" w:firstLineChars="100"/>
        <w:rPr>
          <w:rFonts w:ascii="宋体" w:hAnsi="宋体" w:cs="Tahoma"/>
        </w:rPr>
      </w:pPr>
      <w:r>
        <w:rPr>
          <w:rFonts w:hint="eastAsia" w:ascii="宋体" w:hAnsi="宋体" w:cs="Tahoma"/>
        </w:rPr>
        <w:t>2、报名地点：广东省云浮市云城区城中路110号三楼(果留香楼上)</w:t>
      </w:r>
    </w:p>
    <w:p>
      <w:pPr>
        <w:snapToGrid w:val="0"/>
        <w:spacing w:line="480" w:lineRule="exact"/>
        <w:ind w:firstLine="210" w:firstLineChars="100"/>
        <w:rPr>
          <w:rFonts w:ascii="宋体" w:hAnsi="宋体" w:cs="Tahoma"/>
        </w:rPr>
      </w:pPr>
      <w:r>
        <w:rPr>
          <w:rFonts w:hint="eastAsia" w:ascii="宋体" w:hAnsi="宋体" w:cs="Tahoma"/>
        </w:rPr>
        <w:t>3、获取磋商文件方式：自行在相关网站下载。</w:t>
      </w:r>
    </w:p>
    <w:p>
      <w:pPr>
        <w:spacing w:line="480" w:lineRule="exact"/>
      </w:pPr>
      <w:r>
        <w:rPr>
          <w:rFonts w:hint="eastAsia"/>
        </w:rPr>
        <w:t xml:space="preserve">  4、现场报名时报价人需提交：</w:t>
      </w:r>
    </w:p>
    <w:p>
      <w:pPr>
        <w:spacing w:line="480" w:lineRule="exact"/>
        <w:ind w:left="315" w:hanging="315" w:hangingChars="150"/>
        <w:rPr>
          <w:rFonts w:ascii="宋体" w:hAnsi="宋体" w:cs="宋体"/>
          <w:szCs w:val="21"/>
        </w:rPr>
      </w:pPr>
      <w:r>
        <w:rPr>
          <w:rFonts w:hint="eastAsia" w:ascii="宋体" w:hAnsi="宋体" w:cs="宋体"/>
          <w:szCs w:val="21"/>
        </w:rPr>
        <w:t>4.1提供企业法人营业执照（或三证合一证明）复印件（分支机构参与投标的必须具有上级法人的合法授权, 总公司取得的相关资质证书对已被授权的分公司有效，法律法规或者行业另有规定的除外）；</w:t>
      </w:r>
    </w:p>
    <w:p>
      <w:pPr>
        <w:spacing w:line="480" w:lineRule="exact"/>
        <w:ind w:left="315" w:hanging="315" w:hangingChars="150"/>
        <w:rPr>
          <w:rFonts w:ascii="宋体" w:hAnsi="宋体" w:cs="宋体"/>
          <w:szCs w:val="21"/>
        </w:rPr>
      </w:pPr>
      <w:r>
        <w:rPr>
          <w:rFonts w:hint="eastAsia" w:ascii="宋体" w:hAnsi="宋体" w:cs="宋体"/>
          <w:szCs w:val="21"/>
        </w:rPr>
        <w:t>4.2法定代表人、被授权人身份证复印件、法定代表人资格证明书原件、法定代表人委托授权书原件。</w:t>
      </w:r>
    </w:p>
    <w:p>
      <w:pPr>
        <w:snapToGrid w:val="0"/>
        <w:spacing w:line="500" w:lineRule="exact"/>
        <w:ind w:left="315" w:hanging="315" w:hangingChars="150"/>
        <w:rPr>
          <w:rFonts w:ascii="宋体" w:hAnsi="宋体" w:cs="宋体"/>
          <w:bCs/>
          <w:szCs w:val="21"/>
        </w:rPr>
      </w:pPr>
      <w:r>
        <w:rPr>
          <w:rFonts w:hint="eastAsia" w:ascii="宋体" w:hAnsi="宋体" w:cs="宋体"/>
          <w:bCs/>
          <w:szCs w:val="21"/>
        </w:rPr>
        <w:t>4.3</w:t>
      </w:r>
      <w:r>
        <w:rPr>
          <w:rFonts w:hint="eastAsia" w:ascii="宋体" w:hAnsi="宋体" w:cs="宋体"/>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)查询结果以报价人提供截图并加盖公章为准，如相关失信记录已失效，报价人需提供相关证明资料。查询有效期为自本项目采购公告发出之日起至递交报价文件截止时间止）</w:t>
      </w:r>
      <w:r>
        <w:rPr>
          <w:rFonts w:hint="eastAsia" w:ascii="宋体" w:hAnsi="宋体" w:cs="宋体"/>
          <w:bCs/>
          <w:szCs w:val="21"/>
        </w:rPr>
        <w:t>。</w:t>
      </w:r>
    </w:p>
    <w:p>
      <w:pPr>
        <w:snapToGrid w:val="0"/>
        <w:spacing w:line="500" w:lineRule="exact"/>
        <w:ind w:left="315" w:hanging="315" w:hangingChars="150"/>
        <w:rPr>
          <w:rFonts w:ascii="宋体" w:hAnsi="宋体" w:cs="宋体"/>
        </w:rPr>
      </w:pPr>
      <w:r>
        <w:rPr>
          <w:rFonts w:hint="eastAsia" w:ascii="宋体" w:hAnsi="宋体" w:cs="宋体"/>
          <w:bCs/>
          <w:szCs w:val="21"/>
        </w:rPr>
        <w:t>4.4</w:t>
      </w:r>
      <w:r>
        <w:rPr>
          <w:rFonts w:hint="eastAsia" w:ascii="宋体" w:hAnsi="宋体" w:cs="宋体"/>
        </w:rPr>
        <w:t>为采购项目提供整体设计、规范编制或者项目管理、监理、检测等服务的供应商，不得再参加该采购项目的其他采购活动。（提供《承诺书》）</w:t>
      </w:r>
    </w:p>
    <w:p>
      <w:pPr>
        <w:spacing w:line="480" w:lineRule="exact"/>
        <w:rPr>
          <w:rFonts w:ascii="宋体" w:hAnsi="宋体" w:cs="宋体"/>
        </w:rPr>
      </w:pPr>
      <w:r>
        <w:rPr>
          <w:rFonts w:hint="eastAsia" w:ascii="宋体" w:hAnsi="宋体" w:cs="宋体"/>
        </w:rPr>
        <w:t>4.5</w:t>
      </w:r>
      <w:r>
        <w:rPr>
          <w:rFonts w:hint="eastAsia" w:ascii="宋体" w:hAnsi="宋体" w:cs="宋体"/>
          <w:szCs w:val="21"/>
        </w:rPr>
        <w:t>单位负责人为同一人或者存在直接控股、管理关系的不同供应商，不得参加同一合同项下的采购活动（以报价人完整提供在国家企业信用信息公示系统www.gsxt.gov.cn的查询结果页面“信息打印”内容并加盖公章为准）。</w:t>
      </w:r>
    </w:p>
    <w:p>
      <w:pPr>
        <w:snapToGrid w:val="0"/>
        <w:spacing w:line="480" w:lineRule="exact"/>
      </w:pPr>
      <w:r>
        <w:rPr>
          <w:rFonts w:hint="eastAsia" w:ascii="宋体" w:hAnsi="宋体" w:cs="宋体"/>
          <w:b/>
          <w:bCs/>
        </w:rPr>
        <w:t>以上提交的资料均需盖公章，采购代理机构只接受提供完整报名资料供应商的报名。</w:t>
      </w:r>
    </w:p>
    <w:p>
      <w:pPr>
        <w:snapToGrid w:val="0"/>
        <w:spacing w:line="480" w:lineRule="exact"/>
      </w:pPr>
      <w:r>
        <w:rPr>
          <w:rFonts w:hint="eastAsia" w:ascii="宋体" w:hAnsi="宋体" w:cs="Tahoma"/>
        </w:rPr>
        <w:t>5、报名费</w:t>
      </w:r>
      <w:r>
        <w:rPr>
          <w:rFonts w:ascii="宋体" w:hAnsi="宋体" w:cs="Tahoma"/>
        </w:rPr>
        <w:t>：</w:t>
      </w:r>
      <w:r>
        <w:rPr>
          <w:rFonts w:ascii="宋体" w:hAnsi="宋体"/>
        </w:rPr>
        <w:t>人民币</w:t>
      </w:r>
      <w:r>
        <w:rPr>
          <w:rFonts w:hint="eastAsia" w:ascii="宋体" w:hAnsi="宋体"/>
        </w:rPr>
        <w:t>200</w:t>
      </w:r>
      <w:r>
        <w:rPr>
          <w:rFonts w:ascii="宋体" w:hAnsi="宋体"/>
        </w:rPr>
        <w:t>元</w:t>
      </w:r>
      <w:r>
        <w:rPr>
          <w:rFonts w:hint="eastAsia" w:ascii="宋体" w:hAnsi="宋体"/>
        </w:rPr>
        <w:t>。</w:t>
      </w:r>
    </w:p>
    <w:p>
      <w:pPr>
        <w:snapToGrid w:val="0"/>
        <w:spacing w:line="480" w:lineRule="exact"/>
        <w:ind w:firstLine="211" w:firstLineChars="100"/>
        <w:rPr>
          <w:rFonts w:ascii="宋体" w:hAnsi="宋体"/>
        </w:rPr>
      </w:pPr>
      <w:r>
        <w:rPr>
          <w:rFonts w:hint="eastAsia"/>
          <w:b/>
          <w:bCs/>
        </w:rPr>
        <w:t>（备注：供应商获取了报名资格并非意味着满足了合格、有效报价人的基本条件，一切均以评标委员会共同评定确认的结果为准，以上资料须放入报价文件中。）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rPr>
      </w:pPr>
      <w:r>
        <w:rPr>
          <w:rFonts w:hint="eastAsia" w:ascii="宋体" w:hAnsi="宋体" w:cs="Tahoma"/>
          <w:b/>
        </w:rPr>
        <w:t>四、报价截止时间、磋商时间及地点</w:t>
      </w:r>
    </w:p>
    <w:p>
      <w:pPr>
        <w:snapToGrid w:val="0"/>
        <w:spacing w:line="480" w:lineRule="exact"/>
        <w:rPr>
          <w:rFonts w:ascii="宋体" w:hAnsi="宋体" w:cs="Tahoma"/>
        </w:rPr>
      </w:pPr>
      <w:r>
        <w:rPr>
          <w:rFonts w:hint="eastAsia" w:ascii="宋体" w:hAnsi="宋体" w:cs="Tahoma"/>
        </w:rPr>
        <w:t>1、递交报价文件时间：2019年</w:t>
      </w:r>
      <w:r>
        <w:rPr>
          <w:rFonts w:hint="eastAsia" w:ascii="宋体" w:hAnsi="宋体" w:cs="Tahoma"/>
          <w:lang w:val="en-US" w:eastAsia="zh-CN"/>
        </w:rPr>
        <w:t>3</w:t>
      </w:r>
      <w:r>
        <w:rPr>
          <w:rFonts w:hint="eastAsia" w:ascii="宋体" w:hAnsi="宋体" w:cs="Tahoma"/>
        </w:rPr>
        <w:t>月</w:t>
      </w:r>
      <w:r>
        <w:rPr>
          <w:rFonts w:hint="eastAsia" w:ascii="宋体" w:hAnsi="宋体" w:cs="Tahoma"/>
          <w:lang w:val="en-US" w:eastAsia="zh-CN"/>
        </w:rPr>
        <w:t>26</w:t>
      </w:r>
      <w:r>
        <w:rPr>
          <w:rFonts w:hint="eastAsia" w:ascii="宋体" w:hAnsi="宋体" w:cs="Tahoma"/>
        </w:rPr>
        <w:t>日下午14：30-15：00（北京时间）</w:t>
      </w:r>
    </w:p>
    <w:p>
      <w:pPr>
        <w:snapToGrid w:val="0"/>
        <w:spacing w:line="480" w:lineRule="exact"/>
        <w:rPr>
          <w:rFonts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时间：2019年</w:t>
      </w:r>
      <w:r>
        <w:rPr>
          <w:rFonts w:hint="eastAsia" w:ascii="宋体" w:hAnsi="宋体" w:cs="Tahoma"/>
          <w:lang w:val="en-US" w:eastAsia="zh-CN"/>
        </w:rPr>
        <w:t>3</w:t>
      </w:r>
      <w:r>
        <w:rPr>
          <w:rFonts w:hint="eastAsia" w:ascii="宋体" w:hAnsi="宋体" w:cs="Tahoma"/>
        </w:rPr>
        <w:t>月</w:t>
      </w:r>
      <w:r>
        <w:rPr>
          <w:rFonts w:hint="eastAsia" w:ascii="宋体" w:hAnsi="宋体" w:cs="Tahoma"/>
          <w:lang w:val="en-US" w:eastAsia="zh-CN"/>
        </w:rPr>
        <w:t>26</w:t>
      </w:r>
      <w:r>
        <w:rPr>
          <w:rFonts w:hint="eastAsia" w:ascii="宋体" w:hAnsi="宋体" w:cs="Tahoma"/>
        </w:rPr>
        <w:t>日下午15：00（北京时间）</w:t>
      </w:r>
    </w:p>
    <w:p>
      <w:pPr>
        <w:snapToGrid w:val="0"/>
        <w:spacing w:line="480" w:lineRule="exact"/>
        <w:rPr>
          <w:rFonts w:ascii="宋体" w:hAnsi="宋体" w:cs="Tahoma"/>
        </w:rPr>
      </w:pPr>
      <w:r>
        <w:rPr>
          <w:rFonts w:hint="eastAsia" w:ascii="宋体" w:hAnsi="宋体" w:cs="Tahoma"/>
        </w:rPr>
        <w:t>3、磋商时间： 2019年</w:t>
      </w:r>
      <w:r>
        <w:rPr>
          <w:rFonts w:hint="eastAsia" w:ascii="宋体" w:hAnsi="宋体" w:cs="Tahoma"/>
          <w:lang w:val="en-US" w:eastAsia="zh-CN"/>
        </w:rPr>
        <w:t>3</w:t>
      </w:r>
      <w:r>
        <w:rPr>
          <w:rFonts w:hint="eastAsia" w:ascii="宋体" w:hAnsi="宋体" w:cs="Tahoma"/>
        </w:rPr>
        <w:t>月</w:t>
      </w:r>
      <w:r>
        <w:rPr>
          <w:rFonts w:hint="eastAsia" w:ascii="宋体" w:hAnsi="宋体" w:cs="Tahoma"/>
          <w:lang w:val="en-US" w:eastAsia="zh-CN"/>
        </w:rPr>
        <w:t>26</w:t>
      </w:r>
      <w:r>
        <w:rPr>
          <w:rFonts w:hint="eastAsia" w:ascii="宋体" w:hAnsi="宋体" w:cs="Tahoma"/>
        </w:rPr>
        <w:t>日下午15：00（北京时间）</w:t>
      </w:r>
    </w:p>
    <w:p>
      <w:pPr>
        <w:snapToGrid w:val="0"/>
        <w:spacing w:line="480" w:lineRule="exact"/>
        <w:rPr>
          <w:rFonts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w:t>
      </w:r>
    </w:p>
    <w:p>
      <w:pPr>
        <w:snapToGrid w:val="0"/>
        <w:spacing w:line="480" w:lineRule="exact"/>
        <w:rPr>
          <w:rFonts w:ascii="宋体" w:hAnsi="宋体" w:cs="Tahoma"/>
        </w:rPr>
      </w:pPr>
      <w:r>
        <w:rPr>
          <w:rFonts w:hint="eastAsia" w:ascii="宋体" w:hAnsi="宋体" w:cs="Tahoma"/>
        </w:rPr>
        <w:t>5、</w:t>
      </w:r>
      <w:r>
        <w:rPr>
          <w:rFonts w:hint="eastAsia" w:ascii="宋体" w:hAnsi="宋体"/>
        </w:rPr>
        <w:t>请各报价人授权代表务必到场参与磋商。</w:t>
      </w:r>
    </w:p>
    <w:p>
      <w:pPr>
        <w:snapToGrid w:val="0"/>
        <w:spacing w:line="480" w:lineRule="exact"/>
        <w:outlineLvl w:val="0"/>
        <w:rPr>
          <w:rFonts w:ascii="宋体" w:hAnsi="宋体" w:cs="Tahoma"/>
          <w:b/>
        </w:rPr>
      </w:pPr>
      <w:r>
        <w:rPr>
          <w:rFonts w:hint="eastAsia" w:ascii="宋体" w:hAnsi="宋体" w:cs="Tahoma"/>
          <w:b/>
        </w:rPr>
        <w:t>五、采购人、采购代理机构的名称、地址和联系方式</w:t>
      </w:r>
    </w:p>
    <w:p>
      <w:pPr>
        <w:snapToGrid w:val="0"/>
        <w:spacing w:line="480" w:lineRule="exact"/>
        <w:rPr>
          <w:rFonts w:ascii="宋体" w:hAnsi="宋体" w:cs="Tahoma"/>
        </w:rPr>
      </w:pPr>
      <w:r>
        <w:rPr>
          <w:rFonts w:hint="eastAsia" w:ascii="宋体" w:hAnsi="宋体" w:cs="Tahoma"/>
        </w:rPr>
        <w:t>1、采购人联系方式</w:t>
      </w:r>
    </w:p>
    <w:p>
      <w:pPr>
        <w:snapToGrid w:val="0"/>
        <w:spacing w:line="480" w:lineRule="exact"/>
        <w:rPr>
          <w:rFonts w:ascii="宋体" w:hAnsi="宋体" w:cs="Tahoma"/>
        </w:rPr>
      </w:pPr>
      <w:r>
        <w:rPr>
          <w:rFonts w:hint="eastAsia" w:ascii="宋体" w:hAnsi="宋体" w:cs="Tahoma"/>
        </w:rPr>
        <w:t>采购人名称：云浮市云城区臻汇园碧湖新城住宅小区（A区）业主委员会</w:t>
      </w:r>
    </w:p>
    <w:p>
      <w:pPr>
        <w:snapToGrid w:val="0"/>
        <w:spacing w:line="480" w:lineRule="exact"/>
        <w:rPr>
          <w:rFonts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宋体" w:hAnsi="宋体" w:cs="Tahoma"/>
          <w:szCs w:val="22"/>
        </w:rPr>
        <w:t xml:space="preserve">云浮市云城区金山大道168号 </w:t>
      </w:r>
    </w:p>
    <w:p>
      <w:pPr>
        <w:snapToGrid w:val="0"/>
        <w:spacing w:line="480" w:lineRule="exact"/>
        <w:rPr>
          <w:rFonts w:ascii="宋体" w:hAnsi="宋体" w:cs="Tahoma"/>
        </w:rPr>
      </w:pPr>
      <w:r>
        <w:rPr>
          <w:rFonts w:hint="eastAsia" w:ascii="宋体" w:hAnsi="宋体" w:cs="Tahoma"/>
        </w:rPr>
        <w:t>2、采购代理机构名称</w:t>
      </w:r>
      <w:r>
        <w:rPr>
          <w:rFonts w:ascii="宋体" w:hAnsi="宋体" w:cs="Tahoma"/>
        </w:rPr>
        <w:t>：</w:t>
      </w:r>
      <w:r>
        <w:rPr>
          <w:rFonts w:hint="eastAsia" w:ascii="宋体" w:hAnsi="宋体"/>
        </w:rPr>
        <w:t>广东晓君招标采购代理有限公司</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w:t>
      </w:r>
    </w:p>
    <w:p>
      <w:pPr>
        <w:snapToGrid w:val="0"/>
        <w:spacing w:line="480" w:lineRule="exact"/>
        <w:rPr>
          <w:rFonts w:hint="eastAsia" w:ascii="宋体" w:hAnsi="宋体" w:eastAsia="宋体" w:cs="Tahoma"/>
          <w:lang w:eastAsia="zh-CN"/>
        </w:rPr>
      </w:pPr>
      <w:r>
        <w:rPr>
          <w:rFonts w:hint="eastAsia" w:ascii="宋体" w:hAnsi="宋体" w:cs="Tahoma"/>
        </w:rPr>
        <w:t>采购代理机构</w:t>
      </w:r>
      <w:r>
        <w:rPr>
          <w:rFonts w:ascii="宋体" w:hAnsi="宋体" w:cs="Tahoma"/>
        </w:rPr>
        <w:t>联系人：</w:t>
      </w:r>
      <w:r>
        <w:rPr>
          <w:rFonts w:hint="eastAsia" w:ascii="宋体" w:hAnsi="宋体" w:cs="Tahoma"/>
          <w:lang w:val="en-US" w:eastAsia="zh-CN"/>
        </w:rPr>
        <w:tab/>
      </w:r>
    </w:p>
    <w:p>
      <w:pPr>
        <w:snapToGrid w:val="0"/>
        <w:spacing w:line="480" w:lineRule="exact"/>
        <w:rPr>
          <w:rFonts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0766-8399669</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0766-8399669 </w:t>
      </w:r>
    </w:p>
    <w:p>
      <w:pPr>
        <w:snapToGrid w:val="0"/>
        <w:spacing w:line="480" w:lineRule="exact"/>
        <w:rPr>
          <w:rFonts w:ascii="宋体" w:hAnsi="宋体" w:cs="Tahoma"/>
        </w:rPr>
      </w:pPr>
      <w:r>
        <w:rPr>
          <w:rFonts w:hint="eastAsia" w:ascii="宋体" w:hAnsi="宋体" w:cs="Tahoma"/>
        </w:rPr>
        <w:t xml:space="preserve">采购项目联系人姓名：黄先生 </w:t>
      </w:r>
    </w:p>
    <w:p>
      <w:pPr>
        <w:snapToGrid w:val="0"/>
        <w:spacing w:line="480" w:lineRule="exact"/>
        <w:rPr>
          <w:rFonts w:ascii="宋体" w:hAnsi="宋体" w:cs="Tahoma"/>
        </w:rPr>
      </w:pPr>
      <w:r>
        <w:rPr>
          <w:rFonts w:hint="eastAsia" w:ascii="宋体" w:hAnsi="宋体" w:cs="Tahoma"/>
        </w:rPr>
        <w:t>采购项目联系人电话：13826738763</w:t>
      </w:r>
    </w:p>
    <w:p>
      <w:pPr>
        <w:pStyle w:val="7"/>
        <w:widowControl/>
        <w:autoSpaceDE/>
        <w:autoSpaceDN/>
        <w:adjustRightInd/>
        <w:spacing w:line="480" w:lineRule="exact"/>
        <w:jc w:val="left"/>
        <w:textAlignment w:val="auto"/>
        <w:rPr>
          <w:rFonts w:hAnsi="宋体" w:cs="宋体"/>
          <w:b/>
          <w:bCs/>
          <w:color w:val="auto"/>
          <w:szCs w:val="21"/>
        </w:rPr>
      </w:pPr>
      <w:r>
        <w:rPr>
          <w:rFonts w:hint="eastAsia" w:hAnsi="宋体" w:cs="宋体"/>
          <w:b/>
          <w:bCs/>
          <w:color w:val="auto"/>
          <w:szCs w:val="21"/>
        </w:rPr>
        <w:t>六、磋商文件公示</w:t>
      </w:r>
    </w:p>
    <w:p>
      <w:pPr>
        <w:tabs>
          <w:tab w:val="left" w:pos="4680"/>
        </w:tabs>
        <w:snapToGrid w:val="0"/>
        <w:spacing w:line="480" w:lineRule="exact"/>
        <w:rPr>
          <w:rFonts w:ascii="宋体" w:hAnsi="宋体" w:cs="宋体"/>
        </w:rPr>
      </w:pPr>
      <w:r>
        <w:rPr>
          <w:rFonts w:hint="eastAsia" w:ascii="宋体" w:hAnsi="宋体" w:cs="宋体"/>
        </w:rPr>
        <w:t xml:space="preserve">    本项目磋商文件在</w:t>
      </w:r>
      <w:r>
        <w:rPr>
          <w:rFonts w:hint="eastAsia" w:ascii="宋体" w:hAnsi="宋体" w:cs="宋体"/>
          <w:szCs w:val="21"/>
        </w:rPr>
        <w:t>云浮市公共资源交易网（http://ggzy.yunfu.gov.cn）</w:t>
      </w:r>
      <w:r>
        <w:rPr>
          <w:rFonts w:hint="eastAsia" w:ascii="宋体" w:hAnsi="宋体" w:cs="宋体"/>
        </w:rPr>
        <w:t>等网站进行公示，由报价人自行下载，公示期为自磋商文件公告之日后五个工作日。</w:t>
      </w:r>
    </w:p>
    <w:p>
      <w:pPr>
        <w:snapToGrid w:val="0"/>
        <w:spacing w:line="480" w:lineRule="exact"/>
        <w:outlineLvl w:val="0"/>
        <w:rPr>
          <w:rFonts w:ascii="宋体" w:hAnsi="宋体" w:cs="宋体"/>
          <w:b/>
        </w:rPr>
      </w:pPr>
      <w:r>
        <w:rPr>
          <w:rFonts w:hint="eastAsia" w:ascii="宋体" w:hAnsi="宋体" w:cs="宋体"/>
          <w:b/>
        </w:rPr>
        <w:t>七、供应商注册登记</w:t>
      </w:r>
    </w:p>
    <w:p>
      <w:pPr>
        <w:snapToGrid w:val="0"/>
        <w:spacing w:line="480" w:lineRule="exact"/>
        <w:ind w:firstLine="420" w:firstLineChars="200"/>
        <w:rPr>
          <w:rFonts w:ascii="宋体" w:hAnsi="宋体" w:cs="宋体"/>
        </w:rPr>
      </w:pPr>
      <w:r>
        <w:rPr>
          <w:rFonts w:hint="eastAsia" w:ascii="宋体" w:hAnsi="宋体" w:cs="宋体"/>
        </w:rPr>
        <w:t>为保证工作顺利进行，参加采购活动的供应商，</w:t>
      </w:r>
      <w:r>
        <w:rPr>
          <w:rFonts w:hint="eastAsia" w:ascii="宋体" w:hAnsi="宋体" w:cs="宋体"/>
          <w:b/>
          <w:bCs/>
        </w:rPr>
        <w:t>必须在</w:t>
      </w:r>
      <w:r>
        <w:rPr>
          <w:rFonts w:hint="eastAsia" w:ascii="宋体" w:hAnsi="宋体" w:cs="宋体"/>
          <w:b/>
          <w:bCs/>
          <w:szCs w:val="21"/>
        </w:rPr>
        <w:t>云浮市公共资源交易网（http://ggzy.yunfu.gov.cn）</w:t>
      </w:r>
      <w:r>
        <w:rPr>
          <w:rFonts w:hint="eastAsia" w:ascii="宋体" w:hAnsi="宋体" w:cs="宋体"/>
          <w:b/>
          <w:bCs/>
        </w:rPr>
        <w:t>进行注册登记</w:t>
      </w:r>
      <w:r>
        <w:rPr>
          <w:rFonts w:hint="eastAsia" w:ascii="宋体" w:hAnsi="宋体" w:cs="宋体"/>
        </w:rPr>
        <w:t>，请参加本项目投标且尚未在</w:t>
      </w:r>
      <w:r>
        <w:rPr>
          <w:rFonts w:hint="eastAsia" w:ascii="宋体" w:hAnsi="宋体" w:cs="宋体"/>
          <w:szCs w:val="21"/>
        </w:rPr>
        <w:t>云浮市公共资源交易网</w:t>
      </w:r>
      <w:r>
        <w:rPr>
          <w:rFonts w:hint="eastAsia" w:ascii="宋体" w:hAnsi="宋体" w:cs="宋体"/>
        </w:rPr>
        <w:t>进行注册登记的供应商务必于本项目投标截止日前完成注册登记。</w:t>
      </w:r>
    </w:p>
    <w:p>
      <w:pPr>
        <w:tabs>
          <w:tab w:val="left" w:pos="4680"/>
        </w:tabs>
        <w:snapToGrid w:val="0"/>
        <w:spacing w:line="480" w:lineRule="exact"/>
        <w:ind w:left="200"/>
        <w:jc w:val="right"/>
        <w:rPr>
          <w:rFonts w:ascii="宋体" w:hAnsi="宋体" w:cs="宋体"/>
        </w:rPr>
      </w:pPr>
    </w:p>
    <w:p>
      <w:pPr>
        <w:snapToGrid w:val="0"/>
        <w:spacing w:line="480" w:lineRule="exact"/>
        <w:ind w:left="200" w:right="420" w:firstLine="4840"/>
        <w:jc w:val="right"/>
        <w:rPr>
          <w:rFonts w:ascii="宋体" w:hAnsi="宋体" w:cs="宋体"/>
        </w:rPr>
      </w:pPr>
      <w:r>
        <w:rPr>
          <w:rFonts w:hint="eastAsia" w:ascii="宋体" w:hAnsi="宋体" w:cs="宋体"/>
        </w:rPr>
        <w:t>广东晓君招标采购代理有限公司</w:t>
      </w:r>
    </w:p>
    <w:p>
      <w:pPr>
        <w:snapToGrid w:val="0"/>
        <w:spacing w:line="480" w:lineRule="exact"/>
        <w:ind w:left="200" w:right="420" w:firstLine="4840"/>
        <w:jc w:val="right"/>
        <w:rPr>
          <w:rFonts w:ascii="宋体" w:hAnsi="宋体" w:cs="宋体"/>
        </w:rPr>
      </w:pPr>
      <w:r>
        <w:rPr>
          <w:rFonts w:hint="eastAsia" w:ascii="宋体" w:hAnsi="宋体" w:cs="宋体"/>
          <w:lang w:val="en-US" w:eastAsia="zh-CN"/>
        </w:rPr>
        <w:t>2019</w:t>
      </w:r>
      <w:r>
        <w:rPr>
          <w:rFonts w:hint="eastAsia" w:ascii="宋体" w:hAnsi="宋体" w:cs="宋体"/>
        </w:rPr>
        <w:t>年</w:t>
      </w:r>
      <w:r>
        <w:rPr>
          <w:rFonts w:hint="eastAsia" w:ascii="宋体" w:hAnsi="宋体" w:cs="宋体"/>
          <w:lang w:val="en-US" w:eastAsia="zh-CN"/>
        </w:rPr>
        <w:t>3</w:t>
      </w:r>
      <w:r>
        <w:rPr>
          <w:rFonts w:hint="eastAsia" w:ascii="宋体" w:hAnsi="宋体" w:cs="宋体"/>
        </w:rPr>
        <w:t>月</w:t>
      </w:r>
      <w:r>
        <w:rPr>
          <w:rFonts w:hint="eastAsia" w:ascii="宋体" w:hAnsi="宋体" w:cs="宋体"/>
          <w:lang w:val="en-US" w:eastAsia="zh-CN"/>
        </w:rPr>
        <w:t>12</w:t>
      </w:r>
      <w:r>
        <w:rPr>
          <w:rFonts w:hint="eastAsia" w:ascii="宋体" w:hAnsi="宋体" w:cs="宋体"/>
        </w:rPr>
        <w:t>日</w:t>
      </w:r>
      <w:bookmarkEnd w:id="49"/>
    </w:p>
    <w:p>
      <w:pPr>
        <w:snapToGrid w:val="0"/>
        <w:spacing w:line="480" w:lineRule="exact"/>
        <w:ind w:left="200" w:right="420" w:firstLine="4840"/>
        <w:jc w:val="right"/>
        <w:rPr>
          <w:rFonts w:ascii="宋体" w:hAnsi="宋体" w:cs="Tahoma"/>
        </w:rPr>
      </w:pPr>
    </w:p>
    <w:p>
      <w:pPr>
        <w:snapToGrid w:val="0"/>
        <w:spacing w:before="60" w:line="360" w:lineRule="auto"/>
        <w:rPr>
          <w:rFonts w:ascii="宋体" w:hAnsi="宋体"/>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ascii="宋体"/>
          <w:b/>
          <w:sz w:val="44"/>
        </w:rPr>
      </w:pPr>
      <w:r>
        <w:rPr>
          <w:rFonts w:hint="eastAsia" w:ascii="黑体" w:eastAsia="黑体"/>
          <w:b/>
          <w:sz w:val="44"/>
        </w:rPr>
        <w:t>报 价 人 须 知</w:t>
      </w:r>
    </w:p>
    <w:p>
      <w:pPr>
        <w:pStyle w:val="18"/>
        <w:spacing w:line="360" w:lineRule="auto"/>
        <w:jc w:val="center"/>
      </w:pPr>
    </w:p>
    <w:p>
      <w:pPr>
        <w:pStyle w:val="20"/>
        <w:spacing w:line="360" w:lineRule="auto"/>
        <w:jc w:val="both"/>
      </w:pPr>
      <w:r>
        <w:rPr>
          <w:rFonts w:hint="eastAsia"/>
        </w:rPr>
        <w:t xml:space="preserve"> </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br w:type="page"/>
      </w:r>
      <w:bookmarkStart w:id="5" w:name="_Toc42952414"/>
      <w:r>
        <w:rPr>
          <w:rFonts w:hint="eastAsia" w:ascii="宋体"/>
          <w:bCs w:val="0"/>
          <w:kern w:val="2"/>
          <w:sz w:val="32"/>
          <w:szCs w:val="32"/>
        </w:rPr>
        <w:t>一、说明</w:t>
      </w:r>
      <w:bookmarkEnd w:id="5"/>
    </w:p>
    <w:p>
      <w:pPr>
        <w:pStyle w:val="3"/>
        <w:numPr>
          <w:ilvl w:val="0"/>
          <w:numId w:val="2"/>
        </w:numPr>
        <w:tabs>
          <w:tab w:val="clear" w:pos="420"/>
        </w:tabs>
        <w:spacing w:beforeLines="0" w:afterLines="0" w:line="360" w:lineRule="auto"/>
      </w:pPr>
      <w:r>
        <w:rPr>
          <w:rFonts w:hint="eastAsia"/>
        </w:rPr>
        <w:t>适用范围</w:t>
      </w:r>
    </w:p>
    <w:p>
      <w:pPr>
        <w:pStyle w:val="4"/>
      </w:pPr>
      <w:r>
        <w:rPr>
          <w:rFonts w:hint="eastAsia"/>
        </w:rPr>
        <w:t>1.1   本次代理招标采购的相关服务项目，属非政府采购项目，</w:t>
      </w:r>
      <w:r>
        <w:rPr>
          <w:rFonts w:cs="宋体"/>
          <w:szCs w:val="21"/>
        </w:rPr>
        <w:t>参照政府采购程序进行采购活动</w:t>
      </w:r>
      <w:r>
        <w:rPr>
          <w:rFonts w:hint="eastAsia"/>
        </w:rPr>
        <w:t>。</w:t>
      </w:r>
    </w:p>
    <w:p>
      <w:pPr>
        <w:pStyle w:val="4"/>
        <w:spacing w:before="60"/>
        <w:rPr>
          <w:rFonts w:hAnsi="宋体"/>
          <w:szCs w:val="21"/>
        </w:rPr>
      </w:pPr>
    </w:p>
    <w:p>
      <w:pPr>
        <w:pStyle w:val="3"/>
        <w:numPr>
          <w:ilvl w:val="0"/>
          <w:numId w:val="2"/>
        </w:numPr>
        <w:tabs>
          <w:tab w:val="clear" w:pos="420"/>
        </w:tabs>
        <w:spacing w:beforeLines="0" w:afterLines="0" w:line="360" w:lineRule="auto"/>
      </w:pPr>
      <w:r>
        <w:rPr>
          <w:rFonts w:hint="eastAsia"/>
        </w:rPr>
        <w:t>定义</w:t>
      </w:r>
    </w:p>
    <w:p>
      <w:pPr>
        <w:pStyle w:val="4"/>
        <w:numPr>
          <w:ilvl w:val="1"/>
          <w:numId w:val="1"/>
        </w:numPr>
        <w:spacing w:before="60"/>
      </w:pPr>
      <w:r>
        <w:rPr>
          <w:rFonts w:hint="eastAsia"/>
        </w:rPr>
        <w:t>“采购人”指本采购项目的委托人。</w:t>
      </w:r>
    </w:p>
    <w:p>
      <w:pPr>
        <w:pStyle w:val="4"/>
        <w:numPr>
          <w:ilvl w:val="1"/>
          <w:numId w:val="1"/>
        </w:numPr>
        <w:spacing w:before="60"/>
      </w:pPr>
      <w:r>
        <w:rPr>
          <w:rFonts w:hint="eastAsia"/>
        </w:rPr>
        <w:t>“采购代理机构”指广东晓君招标采购代理有限公司。</w:t>
      </w:r>
    </w:p>
    <w:p>
      <w:pPr>
        <w:pStyle w:val="4"/>
        <w:numPr>
          <w:ilvl w:val="1"/>
          <w:numId w:val="1"/>
        </w:numPr>
        <w:spacing w:before="60"/>
      </w:pPr>
      <w:r>
        <w:rPr>
          <w:rFonts w:hint="eastAsia"/>
        </w:rPr>
        <w:t>“报价人”指向采购代理机构提交报价文件并参与磋商的法人。</w:t>
      </w:r>
    </w:p>
    <w:p>
      <w:pPr>
        <w:pStyle w:val="4"/>
        <w:numPr>
          <w:ilvl w:val="1"/>
          <w:numId w:val="1"/>
        </w:numPr>
        <w:spacing w:before="60"/>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spacing w:before="60"/>
      </w:pPr>
      <w:r>
        <w:rPr>
          <w:rFonts w:hint="eastAsia"/>
        </w:rPr>
        <w:t>“货物”指报价人按磋商文件的规定，须向采购人提供的一切产品、物品及其它材料等。</w:t>
      </w:r>
    </w:p>
    <w:p>
      <w:pPr>
        <w:pStyle w:val="4"/>
        <w:numPr>
          <w:ilvl w:val="1"/>
          <w:numId w:val="1"/>
        </w:numPr>
        <w:spacing w:before="60"/>
        <w:rPr>
          <w:rFonts w:hAnsi="宋体"/>
          <w:szCs w:val="21"/>
        </w:rPr>
      </w:pPr>
      <w:r>
        <w:rPr>
          <w:rFonts w:hint="eastAsia"/>
        </w:rPr>
        <w:t>“服务”指报价人提供的货物所需的相关服务以及用户需求书中要求的其他服务。</w:t>
      </w:r>
    </w:p>
    <w:p>
      <w:pPr>
        <w:pStyle w:val="4"/>
        <w:numPr>
          <w:ilvl w:val="1"/>
          <w:numId w:val="1"/>
        </w:numPr>
        <w:spacing w:before="60"/>
        <w:rPr>
          <w:rFonts w:hAnsi="宋体"/>
          <w:szCs w:val="21"/>
        </w:rPr>
      </w:pPr>
      <w:r>
        <w:rPr>
          <w:rFonts w:hint="eastAsia"/>
        </w:rPr>
        <w:t xml:space="preserve"> 磋商文件中规定的“书面形式”包括纸质文件和磋商文件中规定的电子文件。</w:t>
      </w:r>
    </w:p>
    <w:p>
      <w:pPr>
        <w:pStyle w:val="3"/>
        <w:numPr>
          <w:ilvl w:val="0"/>
          <w:numId w:val="2"/>
        </w:numPr>
        <w:tabs>
          <w:tab w:val="clear" w:pos="420"/>
        </w:tabs>
        <w:spacing w:beforeLines="0" w:afterLines="0" w:line="360" w:lineRule="auto"/>
      </w:pPr>
      <w:r>
        <w:rPr>
          <w:rFonts w:hint="eastAsia"/>
        </w:rPr>
        <w:t>合格的报价人</w:t>
      </w:r>
    </w:p>
    <w:p>
      <w:pPr>
        <w:spacing w:line="360" w:lineRule="auto"/>
        <w:ind w:left="315" w:hanging="315" w:hangingChars="150"/>
        <w:rPr>
          <w:rFonts w:ascii="宋体" w:hAnsi="宋体" w:cs="宋体"/>
        </w:rPr>
      </w:pPr>
      <w:r>
        <w:rPr>
          <w:rFonts w:hint="eastAsia" w:ascii="宋体" w:hAnsi="宋体" w:cs="宋体"/>
        </w:rPr>
        <w:t>3.1、</w:t>
      </w:r>
      <w:r>
        <w:rPr>
          <w:rFonts w:hint="eastAsia" w:ascii="宋体" w:hAnsi="宋体" w:cs="宋体"/>
          <w:szCs w:val="21"/>
        </w:rPr>
        <w:t>报价人具有独立承担民事责任能力的在中华人民共和国境内注册的法人，具有从事本项目的经营范围和能力</w:t>
      </w:r>
      <w:r>
        <w:rPr>
          <w:rFonts w:hint="eastAsia" w:ascii="宋体" w:hAnsi="宋体" w:cs="宋体"/>
          <w:bCs/>
          <w:szCs w:val="21"/>
        </w:rPr>
        <w:t>。</w:t>
      </w:r>
    </w:p>
    <w:p>
      <w:pPr>
        <w:spacing w:line="360" w:lineRule="auto"/>
        <w:ind w:left="315" w:hanging="315" w:hangingChars="150"/>
        <w:rPr>
          <w:rFonts w:ascii="宋体" w:hAnsi="宋体" w:cs="宋体"/>
        </w:rPr>
      </w:pPr>
      <w:r>
        <w:rPr>
          <w:rFonts w:hint="eastAsia" w:ascii="宋体" w:hAnsi="宋体" w:cs="宋体"/>
        </w:rPr>
        <w:t>3.2、</w:t>
      </w:r>
      <w:r>
        <w:rPr>
          <w:rFonts w:hint="eastAsia" w:ascii="宋体" w:hAnsi="宋体" w:cs="宋体"/>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r>
        <w:rPr>
          <w:rFonts w:hint="eastAsia" w:ascii="宋体" w:hAnsi="宋体" w:cs="宋体"/>
        </w:rPr>
        <w:t>。</w:t>
      </w:r>
    </w:p>
    <w:p>
      <w:pPr>
        <w:spacing w:line="360" w:lineRule="auto"/>
        <w:ind w:left="315" w:hanging="315" w:hangingChars="150"/>
        <w:rPr>
          <w:rFonts w:ascii="宋体" w:hAnsi="宋体" w:cs="宋体"/>
        </w:rPr>
      </w:pPr>
      <w:r>
        <w:rPr>
          <w:rFonts w:hint="eastAsia" w:ascii="宋体" w:hAnsi="宋体" w:cs="宋体"/>
        </w:rPr>
        <w:t>3.3、</w:t>
      </w:r>
      <w:r>
        <w:rPr>
          <w:rFonts w:hint="eastAsia" w:ascii="宋体" w:hAnsi="宋体" w:cs="宋体"/>
          <w:szCs w:val="21"/>
        </w:rPr>
        <w:t>为采购项目提供整体设计、规范编制或者项目管理、监理、检测等服务的供应商，不得再参加该采购项目的其他采购活动。（提供《承诺书》）</w:t>
      </w:r>
    </w:p>
    <w:p>
      <w:pPr>
        <w:spacing w:line="360" w:lineRule="auto"/>
        <w:ind w:left="315" w:hanging="315" w:hangingChars="150"/>
        <w:rPr>
          <w:rFonts w:ascii="宋体" w:hAnsi="宋体" w:cs="宋体"/>
        </w:rPr>
      </w:pPr>
      <w:r>
        <w:rPr>
          <w:rFonts w:hint="eastAsia" w:ascii="宋体" w:hAnsi="宋体" w:cs="宋体"/>
        </w:rPr>
        <w:t>3.4、</w:t>
      </w:r>
      <w:r>
        <w:rPr>
          <w:rFonts w:hint="eastAsia" w:ascii="宋体" w:hAnsi="宋体" w:cs="宋体"/>
          <w:szCs w:val="21"/>
        </w:rPr>
        <w:t>单位负责人为同一人或者存在直接控股、管理关系的不同供应商，不得参加同一合同项下的采购活动（以报价人完整提供国家企业信用信息公示系统www.gsxt.gov.cn的查询结果页面“信息打印”内容并加盖公章为准）。</w:t>
      </w:r>
    </w:p>
    <w:p>
      <w:pPr>
        <w:spacing w:line="360" w:lineRule="auto"/>
        <w:ind w:left="315" w:hanging="315" w:hangingChars="150"/>
        <w:rPr>
          <w:rFonts w:ascii="宋体" w:hAnsi="宋体" w:cs="宋体"/>
        </w:rPr>
      </w:pPr>
      <w:r>
        <w:rPr>
          <w:rFonts w:hint="eastAsia" w:ascii="宋体" w:hAnsi="宋体" w:cs="宋体"/>
        </w:rPr>
        <w:t>3.5、</w:t>
      </w:r>
      <w:r>
        <w:rPr>
          <w:rFonts w:hint="eastAsia" w:ascii="宋体" w:hAnsi="宋体" w:cs="宋体"/>
          <w:kern w:val="28"/>
        </w:rPr>
        <w:t>符合《中华人民共和国政府采购法》第二十二条的规定</w:t>
      </w:r>
      <w:r>
        <w:rPr>
          <w:rFonts w:hint="eastAsia" w:ascii="宋体" w:hAnsi="宋体" w:cs="宋体"/>
        </w:rPr>
        <w:t>：</w:t>
      </w:r>
    </w:p>
    <w:p>
      <w:pPr>
        <w:pStyle w:val="24"/>
        <w:spacing w:before="0" w:beforeAutospacing="0" w:after="0" w:afterAutospacing="0" w:line="360" w:lineRule="auto"/>
        <w:ind w:left="315" w:hanging="315" w:hangingChars="150"/>
        <w:rPr>
          <w:sz w:val="21"/>
        </w:rPr>
      </w:pPr>
      <w:r>
        <w:rPr>
          <w:rFonts w:hint="eastAsia"/>
          <w:sz w:val="21"/>
        </w:rPr>
        <w:t>1）法人或者其他组织的营业执照（或三证合一证明）证明文件。</w:t>
      </w:r>
    </w:p>
    <w:p>
      <w:pPr>
        <w:pStyle w:val="24"/>
        <w:spacing w:before="0" w:beforeAutospacing="0" w:after="0" w:afterAutospacing="0" w:line="360" w:lineRule="auto"/>
        <w:ind w:left="315" w:hanging="315" w:hangingChars="150"/>
        <w:rPr>
          <w:sz w:val="21"/>
        </w:rPr>
      </w:pPr>
      <w:r>
        <w:rPr>
          <w:rFonts w:hint="eastAsia"/>
          <w:sz w:val="21"/>
        </w:rPr>
        <w:t>2）201</w:t>
      </w:r>
      <w:r>
        <w:rPr>
          <w:rFonts w:hint="eastAsia"/>
          <w:sz w:val="21"/>
          <w:lang w:val="en-US" w:eastAsia="zh-CN"/>
        </w:rPr>
        <w:t>7</w:t>
      </w:r>
      <w:r>
        <w:rPr>
          <w:rFonts w:hint="eastAsia"/>
          <w:sz w:val="21"/>
        </w:rPr>
        <w:t>年、201</w:t>
      </w:r>
      <w:r>
        <w:rPr>
          <w:rFonts w:hint="eastAsia"/>
          <w:sz w:val="21"/>
          <w:lang w:val="en-US" w:eastAsia="zh-CN"/>
        </w:rPr>
        <w:t>8</w:t>
      </w:r>
      <w:r>
        <w:rPr>
          <w:rFonts w:hint="eastAsia"/>
          <w:sz w:val="21"/>
        </w:rPr>
        <w:t>年的财务报告（提供由会计师事务所出具的审计报告）；或提供银行出具的资信证明；报价人为新注册的，提供其中任意一个月的财务状况报表复印件（提供资产负债表、利润表、现金流量表）。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sz w:val="21"/>
        </w:rPr>
      </w:pPr>
      <w:r>
        <w:rPr>
          <w:rFonts w:hint="eastAsia"/>
          <w:sz w:val="21"/>
        </w:rPr>
        <w:t>3）2018年9月-2019年2月（至少提供其中任意一个月）缴纳税收和社保的凭证。如依法免税或不需要缴纳社会保障资金的，应提供相应文件证明。</w:t>
      </w:r>
    </w:p>
    <w:p>
      <w:pPr>
        <w:spacing w:line="480" w:lineRule="exact"/>
        <w:rPr>
          <w:rFonts w:ascii="宋体" w:hAnsi="宋体" w:cs="宋体"/>
        </w:rPr>
      </w:pPr>
      <w:r>
        <w:rPr>
          <w:rFonts w:hint="eastAsia"/>
        </w:rPr>
        <w:t>4）提供为本</w:t>
      </w:r>
      <w:r>
        <w:rPr>
          <w:rFonts w:hint="eastAsia" w:ascii="宋体" w:hAnsi="宋体" w:cs="宋体"/>
        </w:rPr>
        <w:t>项目服务的设备清单以及技术人员的名单材料。</w:t>
      </w:r>
    </w:p>
    <w:p>
      <w:pPr>
        <w:spacing w:line="480" w:lineRule="exact"/>
        <w:rPr>
          <w:rFonts w:ascii="宋体" w:hAnsi="宋体" w:cs="宋体"/>
        </w:rPr>
      </w:pPr>
      <w:r>
        <w:rPr>
          <w:rFonts w:hint="eastAsia" w:ascii="宋体" w:hAnsi="宋体" w:cs="宋体"/>
        </w:rPr>
        <w:t>5）提供参加政府采购活动前3年内在经营活动中没有重大违法记录的书面声明。</w:t>
      </w:r>
    </w:p>
    <w:p>
      <w:pPr>
        <w:spacing w:line="480" w:lineRule="exact"/>
        <w:rPr>
          <w:rFonts w:ascii="宋体" w:hAnsi="宋体" w:cs="宋体"/>
        </w:rPr>
      </w:pPr>
      <w:r>
        <w:rPr>
          <w:rFonts w:hint="eastAsia" w:ascii="宋体" w:hAnsi="宋体" w:cs="宋体"/>
        </w:rPr>
        <w:t>3.6 本项目不接受联合体投标；</w:t>
      </w:r>
    </w:p>
    <w:p>
      <w:pPr>
        <w:spacing w:line="480" w:lineRule="exact"/>
        <w:rPr>
          <w:rFonts w:ascii="宋体" w:hAnsi="宋体" w:cs="宋体"/>
        </w:rPr>
      </w:pPr>
      <w:r>
        <w:rPr>
          <w:rFonts w:hint="eastAsia" w:ascii="宋体" w:hAnsi="宋体" w:cs="宋体"/>
        </w:rPr>
        <w:t>3.7 根据臻汇园碧湖新城住宅（A区）第二次业主大会表决结果：不予接受正为本项目提供服务的物业公司及其分公司参与本次采购事项。</w:t>
      </w:r>
    </w:p>
    <w:p>
      <w:pPr>
        <w:spacing w:line="480" w:lineRule="exact"/>
        <w:rPr>
          <w:rFonts w:ascii="宋体" w:hAnsi="宋体" w:cs="宋体"/>
        </w:rPr>
      </w:pPr>
      <w:bookmarkStart w:id="6" w:name="_Toc61460073"/>
      <w:r>
        <w:rPr>
          <w:rFonts w:hint="eastAsia" w:ascii="宋体" w:hAnsi="宋体" w:cs="宋体"/>
        </w:rPr>
        <w:t>二、磋商文件</w:t>
      </w:r>
      <w:bookmarkEnd w:id="6"/>
    </w:p>
    <w:p>
      <w:pPr>
        <w:spacing w:line="480" w:lineRule="exact"/>
        <w:rPr>
          <w:rFonts w:ascii="宋体" w:hAnsi="宋体" w:cs="宋体"/>
        </w:rPr>
      </w:pPr>
      <w:r>
        <w:rPr>
          <w:rFonts w:hint="eastAsia" w:ascii="宋体" w:hAnsi="宋体" w:cs="宋体"/>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hAnsi="宋体"/>
          <w:szCs w:val="21"/>
        </w:rPr>
      </w:pPr>
      <w:r>
        <w:rPr>
          <w:rFonts w:hint="eastAsia" w:ascii="宋体" w:hAnsi="宋体"/>
          <w:szCs w:val="21"/>
        </w:rPr>
        <w:t>磋商邀请函；</w:t>
      </w:r>
    </w:p>
    <w:p>
      <w:pPr>
        <w:widowControl w:val="0"/>
        <w:numPr>
          <w:ilvl w:val="0"/>
          <w:numId w:val="3"/>
        </w:numPr>
        <w:spacing w:before="60" w:line="360" w:lineRule="auto"/>
        <w:rPr>
          <w:rFonts w:ascii="宋体" w:hAnsi="宋体"/>
          <w:szCs w:val="21"/>
        </w:rPr>
      </w:pPr>
      <w:r>
        <w:rPr>
          <w:rFonts w:hint="eastAsia" w:ascii="宋体" w:hAnsi="宋体"/>
          <w:szCs w:val="21"/>
        </w:rPr>
        <w:t>报价须知；</w:t>
      </w:r>
    </w:p>
    <w:p>
      <w:pPr>
        <w:widowControl w:val="0"/>
        <w:numPr>
          <w:ilvl w:val="0"/>
          <w:numId w:val="3"/>
        </w:numPr>
        <w:spacing w:before="60" w:line="360" w:lineRule="auto"/>
        <w:rPr>
          <w:rFonts w:ascii="宋体" w:hAnsi="宋体"/>
          <w:szCs w:val="21"/>
        </w:rPr>
      </w:pPr>
      <w:r>
        <w:rPr>
          <w:rFonts w:hint="eastAsia" w:ascii="宋体" w:hAnsi="宋体"/>
          <w:szCs w:val="21"/>
        </w:rPr>
        <w:t>用户需求书；</w:t>
      </w:r>
    </w:p>
    <w:p>
      <w:pPr>
        <w:widowControl w:val="0"/>
        <w:numPr>
          <w:ilvl w:val="0"/>
          <w:numId w:val="3"/>
        </w:numPr>
        <w:spacing w:before="60" w:line="360" w:lineRule="auto"/>
        <w:rPr>
          <w:rFonts w:ascii="宋体" w:hAnsi="宋体"/>
          <w:szCs w:val="21"/>
        </w:rPr>
      </w:pPr>
      <w:r>
        <w:rPr>
          <w:rFonts w:hint="eastAsia" w:ascii="宋体" w:hAnsi="宋体"/>
          <w:szCs w:val="21"/>
        </w:rPr>
        <w:t>合同条款；</w:t>
      </w:r>
    </w:p>
    <w:p>
      <w:pPr>
        <w:widowControl w:val="0"/>
        <w:numPr>
          <w:ilvl w:val="0"/>
          <w:numId w:val="3"/>
        </w:numPr>
        <w:spacing w:before="60" w:line="360" w:lineRule="auto"/>
        <w:rPr>
          <w:rFonts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920"/>
        </w:tabs>
        <w:spacing w:before="60" w:line="360" w:lineRule="auto"/>
        <w:rPr>
          <w:rFonts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ascii="宋体" w:hAnsi="宋体"/>
          <w:szCs w:val="21"/>
        </w:rPr>
      </w:pPr>
      <w:r>
        <w:rPr>
          <w:rFonts w:hint="eastAsia" w:ascii="宋体" w:hAnsi="宋体"/>
          <w:szCs w:val="21"/>
        </w:rPr>
        <w:t>3．1   根据项目的需要,经采购人书面同意，采购代理机构可对磋商文件进行修改和变更。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szCs w:val="21"/>
        </w:rPr>
      </w:pPr>
      <w:r>
        <w:rPr>
          <w:rFonts w:hint="eastAsia" w:ascii="宋体" w:hAnsi="宋体"/>
          <w:szCs w:val="21"/>
        </w:rPr>
        <w:t>3．3   考虑到该修改和变更的影响，采购人和采购代理机构可决定推迟报价文件递交截止时间。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tabs>
          <w:tab w:val="left" w:pos="360"/>
          <w:tab w:val="left" w:pos="720"/>
        </w:tabs>
        <w:spacing w:before="60" w:line="360" w:lineRule="auto"/>
        <w:ind w:leftChars="-1" w:hanging="2"/>
        <w:rPr>
          <w:rFonts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2．2    商务响应文件（参见磋商文件第五部分报价文件格式）；</w:t>
      </w:r>
    </w:p>
    <w:p>
      <w:pPr>
        <w:widowControl w:val="0"/>
        <w:tabs>
          <w:tab w:val="left" w:pos="735"/>
        </w:tabs>
        <w:spacing w:before="60" w:line="360" w:lineRule="auto"/>
        <w:ind w:left="720" w:hanging="720"/>
        <w:rPr>
          <w:rFonts w:ascii="宋体" w:hAnsi="宋体"/>
          <w:szCs w:val="21"/>
        </w:rPr>
      </w:pPr>
      <w:r>
        <w:rPr>
          <w:rFonts w:hint="eastAsia" w:ascii="宋体" w:hAnsi="宋体"/>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szCs w:val="21"/>
        </w:rPr>
      </w:pPr>
      <w:r>
        <w:rPr>
          <w:rFonts w:hint="eastAsia" w:ascii="宋体" w:hAnsi="宋体"/>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w:t>
      </w:r>
      <w:r>
        <w:rPr>
          <w:rFonts w:hint="eastAsia" w:ascii="宋体" w:hAnsi="宋体"/>
          <w:b/>
          <w:bCs/>
          <w:szCs w:val="21"/>
        </w:rPr>
        <w:t>如果正本与副本不符，以正本为准（正本每一页须加盖公章）</w:t>
      </w:r>
      <w:r>
        <w:rPr>
          <w:rFonts w:hint="eastAsia" w:ascii="宋体" w:hAnsi="宋体"/>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报价人应同时提交与报价文件中报价、技术部分的正本内容相同（图片及印刷文件除外）的电子文件一套</w:t>
      </w:r>
      <w:r>
        <w:rPr>
          <w:rFonts w:hint="eastAsia" w:hAnsi="宋体"/>
          <w:b/>
          <w:bCs/>
        </w:rPr>
        <w:t>（以U盘形式）并附在报价文件正本里</w:t>
      </w:r>
      <w:r>
        <w:rPr>
          <w:rFonts w:hint="eastAsia" w:hAnsi="宋体"/>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没有按照要求递交报价文件及传真和电传的报价文件将被拒绝。</w:t>
      </w:r>
      <w:r>
        <w:rPr>
          <w:rFonts w:hint="eastAsia" w:ascii="宋体" w:hAnsi="宋体"/>
          <w:szCs w:val="21"/>
        </w:rPr>
        <w:t xml:space="preserve"> </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报价人应将报价文件正本和所有的副本分开密封装在封套中，封套须加盖公章且在封套上标明“正本”“副本”“信封”字样。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封套均应按以下要求标记：</w:t>
      </w:r>
    </w:p>
    <w:tbl>
      <w:tblPr>
        <w:tblStyle w:val="26"/>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20" w:hRule="atLeast"/>
        </w:trPr>
        <w:tc>
          <w:tcPr>
            <w:tcW w:w="8759" w:type="dxa"/>
          </w:tcPr>
          <w:p>
            <w:pPr>
              <w:spacing w:line="360" w:lineRule="auto"/>
              <w:rPr>
                <w:rFonts w:ascii="宋体" w:hAnsi="宋体"/>
                <w:szCs w:val="21"/>
              </w:rPr>
            </w:pPr>
            <w:r>
              <w:rPr>
                <w:rFonts w:hint="eastAsia" w:ascii="宋体" w:hAnsi="宋体"/>
                <w:szCs w:val="21"/>
              </w:rPr>
              <w:t>（正本/副本/信封）</w:t>
            </w:r>
          </w:p>
          <w:p>
            <w:pPr>
              <w:spacing w:line="360" w:lineRule="auto"/>
              <w:ind w:left="180"/>
              <w:rPr>
                <w:rFonts w:ascii="宋体" w:hAnsi="宋体"/>
                <w:szCs w:val="21"/>
              </w:rPr>
            </w:pPr>
            <w:r>
              <w:rPr>
                <w:rFonts w:hint="eastAsia" w:ascii="宋体" w:hAnsi="宋体"/>
                <w:szCs w:val="21"/>
              </w:rPr>
              <w:t>于“      年     月     日     时    分”之前不准启封（即磋商截止时间）</w:t>
            </w:r>
          </w:p>
          <w:p>
            <w:pPr>
              <w:spacing w:line="360" w:lineRule="auto"/>
              <w:ind w:left="180"/>
              <w:rPr>
                <w:rFonts w:ascii="宋体" w:hAnsi="宋体"/>
                <w:szCs w:val="21"/>
              </w:rPr>
            </w:pPr>
            <w:r>
              <w:rPr>
                <w:rFonts w:hint="eastAsia" w:ascii="宋体" w:hAnsi="宋体"/>
                <w:szCs w:val="21"/>
              </w:rPr>
              <w:t xml:space="preserve">项目名称：云浮市云城区臻汇园碧湖新城住宅小区（A区）物业管理服务项目   </w:t>
            </w:r>
          </w:p>
          <w:p>
            <w:pPr>
              <w:spacing w:line="360" w:lineRule="auto"/>
              <w:ind w:left="180"/>
              <w:rPr>
                <w:rFonts w:ascii="宋体" w:hAnsi="宋体"/>
                <w:szCs w:val="21"/>
              </w:rPr>
            </w:pPr>
            <w:r>
              <w:rPr>
                <w:rFonts w:hint="eastAsia" w:ascii="宋体" w:hAnsi="宋体"/>
                <w:szCs w:val="21"/>
              </w:rPr>
              <w:t xml:space="preserve">收件人名称：广东晓君招标采购代理有限公司          </w:t>
            </w:r>
          </w:p>
          <w:p>
            <w:pPr>
              <w:spacing w:line="360" w:lineRule="auto"/>
              <w:ind w:left="180"/>
              <w:rPr>
                <w:rFonts w:ascii="宋体" w:hAnsi="宋体"/>
                <w:szCs w:val="21"/>
              </w:rPr>
            </w:pPr>
            <w:r>
              <w:rPr>
                <w:rFonts w:hint="eastAsia" w:ascii="宋体" w:hAnsi="宋体"/>
                <w:szCs w:val="21"/>
              </w:rPr>
              <w:t>编号：GDXJ19FCS1001</w:t>
            </w:r>
          </w:p>
          <w:p>
            <w:pPr>
              <w:spacing w:line="360" w:lineRule="auto"/>
              <w:ind w:left="180"/>
              <w:rPr>
                <w:rFonts w:ascii="宋体" w:hAnsi="宋体"/>
                <w:szCs w:val="21"/>
              </w:rPr>
            </w:pPr>
            <w:r>
              <w:rPr>
                <w:rFonts w:hint="eastAsia" w:ascii="宋体" w:hAnsi="宋体"/>
                <w:szCs w:val="21"/>
              </w:rPr>
              <w:t xml:space="preserve">报价人名称：                                  </w:t>
            </w:r>
          </w:p>
          <w:p>
            <w:pPr>
              <w:spacing w:line="360" w:lineRule="auto"/>
              <w:ind w:left="180"/>
              <w:rPr>
                <w:rFonts w:ascii="宋体" w:hAnsi="宋体"/>
                <w:szCs w:val="21"/>
              </w:rPr>
            </w:pPr>
            <w:r>
              <w:rPr>
                <w:rFonts w:hint="eastAsia" w:ascii="宋体" w:hAnsi="宋体"/>
                <w:szCs w:val="21"/>
              </w:rPr>
              <w:t>报价人地址：                                  邮政编码：</w:t>
            </w:r>
          </w:p>
          <w:p>
            <w:pPr>
              <w:pStyle w:val="4"/>
              <w:tabs>
                <w:tab w:val="left" w:pos="102"/>
              </w:tabs>
              <w:ind w:left="-599" w:firstLine="804" w:firstLineChars="383"/>
              <w:jc w:val="left"/>
              <w:rPr>
                <w:rFonts w:hAnsi="宋体"/>
                <w:szCs w:val="21"/>
              </w:rPr>
            </w:pPr>
            <w:r>
              <w:rPr>
                <w:rFonts w:hint="eastAsia" w:hAnsi="宋体"/>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spacing w:val="-4"/>
          <w:szCs w:val="21"/>
        </w:rPr>
      </w:pPr>
      <w:r>
        <w:rPr>
          <w:rFonts w:hint="eastAsia" w:ascii="宋体"/>
        </w:rPr>
        <w:t>3.11  报价文件</w:t>
      </w:r>
      <w:r>
        <w:rPr>
          <w:rFonts w:hint="eastAsia" w:hAnsi="宋体"/>
          <w:spacing w:val="-4"/>
          <w:szCs w:val="21"/>
        </w:rPr>
        <w:t>未按本须知的要求密封、签署和加写标记，</w:t>
      </w:r>
      <w:r>
        <w:rPr>
          <w:rFonts w:hint="eastAsia" w:ascii="宋体" w:hAnsi="宋体"/>
          <w:spacing w:val="-4"/>
          <w:szCs w:val="21"/>
        </w:rPr>
        <w:t>将会导致符合性审查不通过</w:t>
      </w:r>
      <w:r>
        <w:rPr>
          <w:rFonts w:hint="eastAsia" w:hAnsi="宋体"/>
          <w:spacing w:val="-4"/>
          <w:szCs w:val="21"/>
        </w:rPr>
        <w:t>。</w:t>
      </w:r>
    </w:p>
    <w:p>
      <w:pPr>
        <w:spacing w:line="480" w:lineRule="exact"/>
        <w:rPr>
          <w:rFonts w:ascii="宋体"/>
        </w:rPr>
      </w:pPr>
      <w:r>
        <w:rPr>
          <w:rFonts w:hint="eastAsia" w:ascii="宋体"/>
        </w:rPr>
        <w:t>3.12  信封内容：1.投标保证金交付收据复印件；1.退保证金说明（正本）；</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szCs w:val="21"/>
        </w:rPr>
      </w:pPr>
      <w:r>
        <w:rPr>
          <w:rFonts w:hint="eastAsia" w:ascii="宋体" w:hAnsi="宋体"/>
          <w:szCs w:val="21"/>
        </w:rPr>
        <w:t>5.1    本项目的报价</w:t>
      </w:r>
      <w:r>
        <w:rPr>
          <w:rFonts w:hint="eastAsia" w:ascii="宋体" w:hAnsi="宋体"/>
          <w:b/>
          <w:bCs/>
          <w:szCs w:val="21"/>
        </w:rPr>
        <w:t>保证金金额为人</w:t>
      </w:r>
      <w:r>
        <w:rPr>
          <w:rFonts w:hint="eastAsia" w:ascii="宋体" w:hAnsi="宋体"/>
          <w:b/>
          <w:szCs w:val="21"/>
        </w:rPr>
        <w:t>民币贰万</w:t>
      </w:r>
      <w:r>
        <w:rPr>
          <w:rFonts w:hint="eastAsia" w:hAnsi="宋体"/>
          <w:b/>
          <w:bCs/>
        </w:rPr>
        <w:t>元整（</w:t>
      </w:r>
      <w:r>
        <w:rPr>
          <w:rFonts w:ascii="Arial" w:hAnsi="Arial" w:cs="Arial"/>
          <w:b/>
          <w:bCs/>
        </w:rPr>
        <w:t>¥</w:t>
      </w:r>
      <w:r>
        <w:rPr>
          <w:rFonts w:hint="eastAsia" w:ascii="Arial" w:hAnsi="Arial" w:cs="Arial"/>
          <w:b/>
          <w:bCs/>
        </w:rPr>
        <w:t>20,000.00</w:t>
      </w:r>
      <w:r>
        <w:rPr>
          <w:rFonts w:hint="eastAsia" w:hAnsi="宋体"/>
          <w:b/>
          <w:bCs/>
        </w:rPr>
        <w:t>元</w:t>
      </w:r>
      <w:r>
        <w:rPr>
          <w:rFonts w:hAnsi="宋体"/>
          <w:b/>
          <w:bCs/>
        </w:rPr>
        <w:t>）</w:t>
      </w:r>
      <w:r>
        <w:rPr>
          <w:rFonts w:hint="eastAsia" w:hAnsi="宋体"/>
          <w:b/>
          <w:bCs/>
        </w:rPr>
        <w:t>。</w:t>
      </w: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spacing w:line="480" w:lineRule="exact"/>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spacing w:line="480" w:lineRule="exact"/>
        <w:ind w:left="538" w:leftChars="256" w:firstLine="297" w:firstLineChars="141"/>
        <w:rPr>
          <w:rFonts w:ascii="宋体" w:hAnsi="宋体"/>
          <w:b/>
        </w:rPr>
      </w:pPr>
      <w:r>
        <w:rPr>
          <w:rFonts w:hint="eastAsia" w:ascii="宋体" w:hAnsi="宋体"/>
          <w:b/>
        </w:rPr>
        <w:t>收款人：广东晓君招标采购代理有限公司</w:t>
      </w:r>
    </w:p>
    <w:p>
      <w:pPr>
        <w:spacing w:line="480" w:lineRule="exact"/>
        <w:ind w:left="538" w:leftChars="256" w:firstLine="297" w:firstLineChars="141"/>
        <w:rPr>
          <w:rFonts w:ascii="宋体" w:hAnsi="宋体" w:cs="宋体"/>
          <w:b/>
          <w:szCs w:val="21"/>
        </w:rPr>
      </w:pPr>
      <w:r>
        <w:rPr>
          <w:rFonts w:hint="eastAsia" w:ascii="宋体" w:hAnsi="宋体" w:cs="宋体"/>
          <w:b/>
          <w:szCs w:val="21"/>
        </w:rPr>
        <w:t>账   号：</w:t>
      </w:r>
      <w:r>
        <w:rPr>
          <w:rFonts w:hint="eastAsia" w:ascii="宋体" w:hAnsi="宋体"/>
          <w:b/>
        </w:rPr>
        <w:t>80020000009599651</w:t>
      </w:r>
      <w:r>
        <w:rPr>
          <w:rFonts w:hint="eastAsia" w:ascii="宋体" w:hAnsi="宋体" w:cs="宋体"/>
          <w:b/>
          <w:szCs w:val="21"/>
        </w:rPr>
        <w:t xml:space="preserve"> </w:t>
      </w:r>
    </w:p>
    <w:p>
      <w:pPr>
        <w:spacing w:line="480" w:lineRule="exact"/>
        <w:ind w:left="538" w:leftChars="256" w:firstLine="297" w:firstLineChars="141"/>
        <w:rPr>
          <w:rFonts w:ascii="宋体" w:hAnsi="宋体"/>
          <w:b/>
        </w:rPr>
      </w:pPr>
      <w:r>
        <w:rPr>
          <w:rFonts w:hint="eastAsia" w:ascii="宋体" w:hAnsi="宋体" w:cs="宋体"/>
          <w:b/>
          <w:szCs w:val="21"/>
        </w:rPr>
        <w:t>开户行 ：</w:t>
      </w:r>
      <w:r>
        <w:rPr>
          <w:rFonts w:hint="eastAsia" w:ascii="宋体" w:hAnsi="宋体"/>
          <w:b/>
        </w:rPr>
        <w:t>云浮市云城区农村信用合作联社</w:t>
      </w:r>
    </w:p>
    <w:p>
      <w:pPr>
        <w:spacing w:line="480" w:lineRule="exact"/>
        <w:ind w:left="538" w:leftChars="256" w:firstLine="297" w:firstLineChars="141"/>
        <w:rPr>
          <w:rFonts w:ascii="宋体" w:hAnsi="宋体"/>
          <w:b/>
        </w:rPr>
      </w:pPr>
      <w:r>
        <w:rPr>
          <w:rFonts w:hint="eastAsia" w:ascii="宋体" w:hAnsi="宋体"/>
          <w:b/>
        </w:rPr>
        <w:t>财务联系人：黄小姐</w:t>
      </w:r>
    </w:p>
    <w:p>
      <w:pPr>
        <w:spacing w:line="480" w:lineRule="exact"/>
        <w:ind w:left="538" w:leftChars="256" w:firstLine="297" w:firstLineChars="141"/>
        <w:rPr>
          <w:rFonts w:ascii="宋体" w:hAnsi="宋体"/>
          <w:b/>
        </w:rPr>
      </w:pPr>
      <w:r>
        <w:rPr>
          <w:rFonts w:hint="eastAsia" w:ascii="宋体" w:hAnsi="宋体"/>
          <w:b/>
        </w:rPr>
        <w:t>财务联系电话：0766-8399668</w:t>
      </w:r>
    </w:p>
    <w:p>
      <w:pPr>
        <w:snapToGrid w:val="0"/>
        <w:spacing w:line="480" w:lineRule="exact"/>
        <w:ind w:firstLine="738" w:firstLineChars="350"/>
        <w:rPr>
          <w:rFonts w:ascii="宋体" w:hAnsi="宋体"/>
          <w:b/>
          <w:szCs w:val="21"/>
          <w:u w:val="single"/>
        </w:rPr>
      </w:pPr>
      <w:r>
        <w:rPr>
          <w:rFonts w:hint="eastAsia" w:ascii="宋体" w:hAnsi="宋体"/>
          <w:b/>
          <w:szCs w:val="21"/>
          <w:u w:val="single"/>
        </w:rPr>
        <w:t>[递交报价保证金请注明：采购编号GDXJ19FCS1001]</w:t>
      </w:r>
    </w:p>
    <w:p>
      <w:pPr>
        <w:spacing w:line="480" w:lineRule="exact"/>
        <w:ind w:left="899" w:leftChars="172" w:hanging="538" w:hangingChars="255"/>
        <w:rPr>
          <w:rFonts w:ascii="宋体" w:hAnsi="宋体" w:cs="宋体"/>
          <w:b/>
          <w:iCs/>
          <w:color w:val="FF0000"/>
        </w:rPr>
      </w:pPr>
      <w:r>
        <w:rPr>
          <w:rFonts w:hint="eastAsia" w:ascii="宋体" w:hAnsi="宋体" w:cs="宋体"/>
          <w:b/>
          <w:iCs/>
        </w:rPr>
        <w:t>（2）保证金的提交时间要求：</w:t>
      </w:r>
      <w:r>
        <w:rPr>
          <w:rFonts w:hint="eastAsia" w:ascii="宋体" w:hAnsi="宋体"/>
          <w:b/>
        </w:rPr>
        <w:t>由报价人对公账户直接存入</w:t>
      </w:r>
      <w:r>
        <w:rPr>
          <w:rFonts w:hint="eastAsia" w:ascii="宋体" w:hAnsi="宋体" w:cs="Tahoma"/>
          <w:b/>
          <w:iCs/>
        </w:rPr>
        <w:t>采购人</w:t>
      </w:r>
      <w:r>
        <w:rPr>
          <w:rFonts w:ascii="宋体" w:hAnsi="宋体" w:cs="Tahoma"/>
          <w:b/>
          <w:iCs/>
        </w:rPr>
        <w:t>指定账户</w:t>
      </w:r>
      <w:r>
        <w:rPr>
          <w:rFonts w:hint="eastAsia" w:ascii="宋体" w:hAnsi="宋体" w:cs="Tahoma"/>
          <w:b/>
          <w:iCs/>
        </w:rPr>
        <w:t>，开标现场不接受任何形式的报价保证金。递交报价文件时报价保证金须已到账，以采购人查询结果为准。报价保证金交纳凭据须按磋商文件第五部分《报价文件要求》格式提供</w:t>
      </w:r>
      <w:r>
        <w:rPr>
          <w:rFonts w:hint="eastAsia" w:ascii="宋体" w:hAnsi="宋体" w:cs="宋体"/>
          <w:b/>
          <w:iCs/>
        </w:rPr>
        <w:t>。为了提高效率，节约社会交易成本与时间，我司希望购买了采购文件而决定不参加本次投标的报价人，在投标文件递交截止时间的3日前，按《磋商邀请》中的联系方式，以书面形式告知采购代理机构。对您的支持与配合，谨此致谢！</w:t>
      </w:r>
    </w:p>
    <w:p>
      <w:pPr>
        <w:spacing w:line="480" w:lineRule="exact"/>
        <w:ind w:left="899" w:leftChars="172" w:hanging="538" w:hangingChars="255"/>
        <w:rPr>
          <w:rFonts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如有质疑或投诉，采购代理机构将在质疑和投诉处理完毕后不计利息原额退还。（以先到的时间为准，在此时限内退回的保证金不计利息）。</w:t>
      </w:r>
      <w:r>
        <w:rPr>
          <w:rFonts w:hint="eastAsia" w:ascii="宋体" w:hAnsi="宋体" w:cs="宋体"/>
          <w:szCs w:val="21"/>
        </w:rPr>
        <w:t xml:space="preserve"> 有下列情况之一的，投标保证金不予退还：</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5.4.3  除因不可抗力或磋商文件认可的情况以外，成交供应商不与采购人签订合同的；</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5.4.6  依法取消成交资格；</w:t>
      </w:r>
    </w:p>
    <w:p>
      <w:pPr>
        <w:tabs>
          <w:tab w:val="left" w:pos="720"/>
        </w:tabs>
        <w:adjustRightInd w:val="0"/>
        <w:snapToGrid w:val="0"/>
        <w:spacing w:before="60" w:line="360" w:lineRule="auto"/>
        <w:ind w:left="718" w:right="31" w:rightChars="15" w:hanging="718" w:hangingChars="342"/>
        <w:rPr>
          <w:rFonts w:ascii="宋体" w:hAnsi="宋体" w:cs="宋体"/>
          <w:szCs w:val="21"/>
        </w:rPr>
      </w:pPr>
      <w:r>
        <w:rPr>
          <w:rFonts w:hint="eastAsia" w:ascii="宋体" w:hAnsi="宋体" w:cs="宋体"/>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840" w:right="31" w:rightChars="15" w:hanging="840" w:hangingChars="400"/>
        <w:rPr>
          <w:rFonts w:ascii="宋体" w:hAnsi="宋体" w:cs="宋体"/>
          <w:szCs w:val="21"/>
        </w:rPr>
      </w:pPr>
      <w:r>
        <w:rPr>
          <w:rFonts w:hint="eastAsia" w:ascii="宋体" w:hAnsi="宋体" w:cs="宋体"/>
          <w:szCs w:val="21"/>
        </w:rPr>
        <w:t>5.4.8  磋商文件规定的其他情形。</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报价人在磋商文件规定的报价有效期内撤回其报价文件；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sz w:val="24"/>
        </w:rPr>
      </w:pPr>
      <w:r>
        <w:rPr>
          <w:rFonts w:hint="eastAsia" w:ascii="宋体" w:hAnsi="宋体"/>
          <w:b/>
          <w:sz w:val="24"/>
        </w:rPr>
        <w:t>6     报价文件的递交和撤回</w:t>
      </w:r>
    </w:p>
    <w:p>
      <w:pPr>
        <w:widowControl w:val="0"/>
        <w:numPr>
          <w:ilvl w:val="0"/>
          <w:numId w:val="8"/>
        </w:numPr>
        <w:snapToGrid w:val="0"/>
        <w:spacing w:before="60" w:line="360" w:lineRule="auto"/>
        <w:rPr>
          <w:rFonts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ascii="宋体" w:hAnsi="宋体"/>
          <w:spacing w:val="-6"/>
          <w:szCs w:val="21"/>
        </w:rPr>
      </w:pPr>
      <w:r>
        <w:rPr>
          <w:rFonts w:hint="eastAsia" w:ascii="宋体" w:hAnsi="宋体"/>
          <w:spacing w:val="-6"/>
          <w:szCs w:val="21"/>
        </w:rPr>
        <w:t>（2）  在报价递交截止时间前报价人可以撤回报价文件，但在报价递交截止时间之后不允许撤回报价文件。</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磋商小组将在按磋商排序的顺序逐一与报价人分别就服务商务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cs="宋体"/>
          <w:szCs w:val="21"/>
        </w:rPr>
      </w:pPr>
      <w:r>
        <w:rPr>
          <w:rFonts w:hint="eastAsia" w:ascii="宋体" w:hAnsi="宋体" w:cs="宋体"/>
          <w:szCs w:val="21"/>
        </w:rPr>
        <w:t>服务商务磋商的时间及地点(见磋商邀请函)。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cs="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spacing w:val="10"/>
          <w:sz w:val="24"/>
        </w:rPr>
      </w:pPr>
      <w:r>
        <w:rPr>
          <w:rFonts w:hint="eastAsia" w:ascii="宋体" w:hAnsi="宋体"/>
          <w:b/>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磋商小组将只对确定为实质上响应磋商文件要求的澄清等内容进行详细评审。</w:t>
      </w:r>
    </w:p>
    <w:p>
      <w:pPr>
        <w:widowControl w:val="0"/>
        <w:numPr>
          <w:ilvl w:val="0"/>
          <w:numId w:val="10"/>
        </w:numPr>
        <w:tabs>
          <w:tab w:val="left" w:pos="720"/>
          <w:tab w:val="clear" w:pos="481"/>
        </w:tabs>
        <w:snapToGrid w:val="0"/>
        <w:spacing w:before="60" w:line="360" w:lineRule="auto"/>
        <w:ind w:hanging="481"/>
        <w:rPr>
          <w:rFonts w:ascii="宋体" w:hAnsi="宋体"/>
          <w:szCs w:val="21"/>
        </w:rPr>
      </w:pPr>
      <w:r>
        <w:rPr>
          <w:rFonts w:hint="eastAsia" w:ascii="宋体" w:hAnsi="宋体"/>
          <w:szCs w:val="21"/>
        </w:rPr>
        <w:t xml:space="preserve">  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bookmarkStart w:id="7" w:name="_Toc61460075"/>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按公正、科学、客观、平等竞争的要求，推荐技术先进、经验丰富、信誉良好、售后服务好、及综合实力强的成交报价人。</w:t>
      </w:r>
    </w:p>
    <w:p>
      <w:pPr>
        <w:widowControl w:val="0"/>
        <w:snapToGrid w:val="0"/>
        <w:spacing w:before="60" w:line="360" w:lineRule="auto"/>
        <w:ind w:left="735" w:hanging="735" w:hangingChars="350"/>
        <w:jc w:val="both"/>
        <w:rPr>
          <w:rFonts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numPr>
          <w:ilvl w:val="0"/>
          <w:numId w:val="11"/>
        </w:numPr>
        <w:spacing w:line="480" w:lineRule="exact"/>
      </w:pPr>
      <w:r>
        <w:rPr>
          <w:rFonts w:hint="eastAsia" w:ascii="宋体" w:hAnsi="宋体" w:cs="Arial"/>
          <w:szCs w:val="21"/>
        </w:rPr>
        <w:t xml:space="preserve"> </w:t>
      </w:r>
      <w:r>
        <w:rPr>
          <w:rFonts w:hint="eastAsia"/>
        </w:rPr>
        <w:t>评标委员会根据“投标文件初步评审表”对投标文件的资格性和符合性进行评审，不能通过</w:t>
      </w:r>
    </w:p>
    <w:p>
      <w:pPr>
        <w:spacing w:line="480" w:lineRule="exact"/>
      </w:pPr>
      <w:r>
        <w:rPr>
          <w:rFonts w:hint="eastAsia"/>
        </w:rPr>
        <w:t xml:space="preserve">       资格性审查的报价人，无需进行符合性审查，只有对“投标文件初步评审表”所列各项作出</w:t>
      </w:r>
    </w:p>
    <w:p>
      <w:pPr>
        <w:spacing w:line="480" w:lineRule="exact"/>
      </w:pPr>
      <w:r>
        <w:rPr>
          <w:rFonts w:hint="eastAsia"/>
        </w:rPr>
        <w:t xml:space="preserve">       实质性响应的投标文件才能通过初步评审。对是否实质性响应磋商文件的要求有争议的投</w:t>
      </w:r>
    </w:p>
    <w:p>
      <w:pPr>
        <w:spacing w:line="480" w:lineRule="exact"/>
      </w:pPr>
      <w:r>
        <w:rPr>
          <w:rFonts w:hint="eastAsia"/>
        </w:rPr>
        <w:t xml:space="preserve">       标，评标委员会将以记名方式表决，得票超过半数的报价人有资格进入下一阶段的评审，否</w:t>
      </w:r>
    </w:p>
    <w:p>
      <w:pPr>
        <w:spacing w:line="480" w:lineRule="exact"/>
      </w:pPr>
      <w:r>
        <w:rPr>
          <w:rFonts w:hint="eastAsia"/>
        </w:rPr>
        <w:t xml:space="preserve">       则将被淘汰。</w:t>
      </w:r>
    </w:p>
    <w:p>
      <w:pPr>
        <w:widowControl w:val="0"/>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的澄清、修正和磋商，磋商中发现报价人的报价文件资料不齐或欠缺时,准许其在规定时间内补足相应资料，如不能补足，该报价则将会由于不符合磋商的基本要求而被拒绝。</w:t>
      </w:r>
    </w:p>
    <w:p>
      <w:pPr>
        <w:widowControl w:val="0"/>
        <w:snapToGrid w:val="0"/>
        <w:spacing w:before="60" w:line="360" w:lineRule="auto"/>
        <w:ind w:left="735" w:hanging="735" w:hangingChars="350"/>
        <w:rPr>
          <w:rFonts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服务评分、商务评分分别乘以权重再相加得出综合得分，综合得分按由高到低顺序排列。综合得分最高的报价人为第一中标候选供应商，综合得分次高的报价人为第二中标候选供应商。</w:t>
      </w:r>
    </w:p>
    <w:p>
      <w:pPr>
        <w:widowControl w:val="0"/>
        <w:snapToGrid w:val="0"/>
        <w:spacing w:before="60" w:line="360" w:lineRule="auto"/>
        <w:rPr>
          <w:rFonts w:ascii="宋体"/>
        </w:rPr>
      </w:pPr>
      <w:r>
        <w:rPr>
          <w:rFonts w:hint="eastAsia" w:ascii="宋体" w:hAnsi="宋体" w:cs="Arial"/>
          <w:szCs w:val="21"/>
        </w:rPr>
        <w:t xml:space="preserve">（4）  </w:t>
      </w:r>
      <w:r>
        <w:rPr>
          <w:rFonts w:hint="eastAsia" w:ascii="宋体" w:hAnsi="宋体"/>
        </w:rPr>
        <w:t>服务</w:t>
      </w:r>
      <w:r>
        <w:rPr>
          <w:rFonts w:hint="eastAsia" w:hAnsi="宋体"/>
        </w:rPr>
        <w:t>商务的评审：</w:t>
      </w:r>
    </w:p>
    <w:p>
      <w:pPr>
        <w:tabs>
          <w:tab w:val="left" w:pos="360"/>
          <w:tab w:val="left" w:pos="1030"/>
        </w:tabs>
        <w:snapToGrid w:val="0"/>
        <w:spacing w:before="60" w:line="360" w:lineRule="auto"/>
        <w:ind w:left="777" w:leftChars="200" w:hanging="357" w:hangingChars="170"/>
        <w:rPr>
          <w:rFonts w:ascii="宋体" w:hAnsi="宋体"/>
        </w:rPr>
      </w:pPr>
      <w:r>
        <w:rPr>
          <w:rFonts w:hint="eastAsia" w:ascii="宋体" w:hAnsi="宋体"/>
        </w:rPr>
        <w:t>1．服务商务评分：服务商务评分各单项所占权重详见附表《服务商务打分表》；（按四舍五入原则取值并保留小数点后两位有效数字。）</w:t>
      </w:r>
    </w:p>
    <w:p>
      <w:pPr>
        <w:snapToGrid w:val="0"/>
        <w:spacing w:before="60" w:line="360" w:lineRule="auto"/>
        <w:rPr>
          <w:rFonts w:ascii="宋体" w:hAnsi="宋体"/>
        </w:rPr>
      </w:pPr>
      <w:r>
        <w:rPr>
          <w:rFonts w:hint="eastAsia" w:ascii="宋体" w:hAnsi="宋体"/>
        </w:rPr>
        <w:t>（5）  服务商务权重分配</w:t>
      </w:r>
    </w:p>
    <w:tbl>
      <w:tblPr>
        <w:tblStyle w:val="26"/>
        <w:tblW w:w="692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768"/>
        <w:gridCol w:w="41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489" w:hRule="atLeast"/>
          <w:jc w:val="center"/>
        </w:trPr>
        <w:tc>
          <w:tcPr>
            <w:tcW w:w="2768" w:type="dxa"/>
            <w:vAlign w:val="center"/>
          </w:tcPr>
          <w:p>
            <w:pPr>
              <w:spacing w:line="480" w:lineRule="exact"/>
              <w:jc w:val="center"/>
            </w:pPr>
            <w:r>
              <w:rPr>
                <w:rFonts w:hint="eastAsia" w:ascii="宋体" w:hAnsi="宋体"/>
              </w:rPr>
              <w:t>评分项目</w:t>
            </w:r>
          </w:p>
        </w:tc>
        <w:tc>
          <w:tcPr>
            <w:tcW w:w="4152" w:type="dxa"/>
            <w:vAlign w:val="center"/>
          </w:tcPr>
          <w:p>
            <w:pPr>
              <w:spacing w:line="480" w:lineRule="exact"/>
              <w:jc w:val="center"/>
            </w:pPr>
            <w:r>
              <w:rPr>
                <w:rFonts w:hint="eastAsia" w:ascii="宋体" w:hAnsi="宋体"/>
              </w:rPr>
              <w:t>服务商务评分（F1）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503" w:hRule="atLeast"/>
          <w:jc w:val="center"/>
        </w:trPr>
        <w:tc>
          <w:tcPr>
            <w:tcW w:w="2768" w:type="dxa"/>
            <w:vAlign w:val="center"/>
          </w:tcPr>
          <w:p>
            <w:pPr>
              <w:spacing w:line="480" w:lineRule="exact"/>
              <w:jc w:val="center"/>
            </w:pPr>
            <w:r>
              <w:rPr>
                <w:rFonts w:hint="eastAsia" w:ascii="宋体" w:hAnsi="宋体"/>
              </w:rPr>
              <w:t>权</w:t>
            </w:r>
            <w:r>
              <w:rPr>
                <w:rFonts w:ascii="宋体" w:hAnsi="宋体"/>
              </w:rPr>
              <w:t xml:space="preserve">    </w:t>
            </w:r>
            <w:r>
              <w:rPr>
                <w:rFonts w:hint="eastAsia" w:ascii="宋体" w:hAnsi="宋体"/>
              </w:rPr>
              <w:t>重</w:t>
            </w:r>
          </w:p>
        </w:tc>
        <w:tc>
          <w:tcPr>
            <w:tcW w:w="4152" w:type="dxa"/>
            <w:vAlign w:val="center"/>
          </w:tcPr>
          <w:p>
            <w:pPr>
              <w:spacing w:line="480" w:lineRule="exact"/>
              <w:jc w:val="center"/>
            </w:pPr>
            <w:r>
              <w:rPr>
                <w:rFonts w:hint="eastAsia"/>
              </w:rPr>
              <w:t>100%</w:t>
            </w:r>
          </w:p>
        </w:tc>
      </w:tr>
    </w:tbl>
    <w:p>
      <w:pPr>
        <w:widowControl w:val="0"/>
        <w:tabs>
          <w:tab w:val="left" w:pos="540"/>
        </w:tabs>
        <w:spacing w:before="120" w:line="480" w:lineRule="auto"/>
        <w:ind w:firstLine="210" w:firstLineChars="100"/>
        <w:jc w:val="both"/>
        <w:rPr>
          <w:rFonts w:ascii="宋体"/>
        </w:rPr>
      </w:pPr>
      <w:r>
        <w:rPr>
          <w:rFonts w:hint="eastAsia" w:ascii="宋体"/>
        </w:rPr>
        <w:t>评标总得分=F1</w:t>
      </w:r>
    </w:p>
    <w:p>
      <w:pPr>
        <w:snapToGrid w:val="0"/>
        <w:spacing w:before="60" w:line="360" w:lineRule="auto"/>
        <w:ind w:firstLine="210" w:firstLineChars="100"/>
      </w:pPr>
      <w:r>
        <w:rPr>
          <w:rFonts w:hint="eastAsia" w:ascii="宋体"/>
        </w:rPr>
        <w:t>F1为</w:t>
      </w:r>
      <w:r>
        <w:rPr>
          <w:rFonts w:hint="eastAsia" w:ascii="宋体" w:hAnsi="宋体"/>
        </w:rPr>
        <w:t>服务商务得分</w:t>
      </w:r>
    </w:p>
    <w:p>
      <w:pPr>
        <w:tabs>
          <w:tab w:val="left" w:pos="720"/>
          <w:tab w:val="left" w:pos="4013"/>
        </w:tabs>
        <w:snapToGrid w:val="0"/>
        <w:spacing w:before="60" w:line="360" w:lineRule="auto"/>
        <w:ind w:left="540" w:hanging="539" w:hangingChars="257"/>
        <w:rPr>
          <w:rFonts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39" w:leftChars="250" w:hanging="14" w:hangingChars="7"/>
        <w:rPr>
          <w:rFonts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方案或采购数量，如果报价人根据采购人提出的变更要求调整方案后未能获得合同，采购人和采购代理机构不承担任何责任。</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五、成交报价人及成交服务费</w:t>
      </w:r>
      <w:bookmarkEnd w:id="7"/>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5.1   成交报价人的确定</w:t>
      </w:r>
    </w:p>
    <w:p>
      <w:pPr>
        <w:snapToGrid w:val="0"/>
        <w:spacing w:before="60" w:line="360" w:lineRule="auto"/>
        <w:ind w:left="537" w:leftChars="-1" w:right="420" w:rightChars="200" w:hanging="539" w:hangingChars="257"/>
        <w:rPr>
          <w:rFonts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5.2   </w:t>
      </w:r>
      <w:r>
        <w:rPr>
          <w:rFonts w:hint="eastAsia" w:ascii="宋体" w:hAnsi="宋体"/>
          <w:szCs w:val="21"/>
          <w:lang w:val="en-US" w:eastAsia="zh-CN"/>
        </w:rPr>
        <w:t>采购及</w:t>
      </w:r>
      <w:r>
        <w:rPr>
          <w:rFonts w:hint="eastAsia" w:ascii="宋体" w:hAnsi="宋体"/>
          <w:szCs w:val="21"/>
        </w:rPr>
        <w:t>成交结果公告</w:t>
      </w:r>
    </w:p>
    <w:p>
      <w:pPr>
        <w:snapToGrid w:val="0"/>
        <w:spacing w:before="60" w:line="360" w:lineRule="auto"/>
        <w:ind w:left="567" w:right="31" w:rightChars="15" w:hanging="567" w:hangingChars="270"/>
        <w:rPr>
          <w:rFonts w:ascii="宋体" w:hAnsi="宋体"/>
          <w:szCs w:val="21"/>
        </w:rPr>
      </w:pPr>
      <w:r>
        <w:rPr>
          <w:rFonts w:hint="eastAsia" w:ascii="宋体" w:hAnsi="宋体"/>
          <w:szCs w:val="21"/>
        </w:rPr>
        <w:t>（1） 采购代理机构将在</w:t>
      </w:r>
      <w:r>
        <w:rPr>
          <w:rFonts w:hint="eastAsia" w:ascii="宋体" w:hAnsi="宋体" w:cs="宋体"/>
        </w:rPr>
        <w:t>①中国政府采购网（http://www.ccgp.gov.cn）；②云浮市公共资源交易网（ggzy.yunfu.gov.cn）；③广东晓君招标采购代理有限公司 (www.gdxjzbdl.com)</w:t>
      </w:r>
      <w:r>
        <w:rPr>
          <w:rFonts w:hint="eastAsia" w:ascii="宋体" w:hAnsi="宋体"/>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（3）      质疑人提交质疑书为一式三份（正本一份，副本二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numPr>
          <w:ilvl w:val="0"/>
          <w:numId w:val="13"/>
        </w:numPr>
        <w:tabs>
          <w:tab w:val="left" w:pos="735"/>
        </w:tabs>
        <w:snapToGrid w:val="0"/>
        <w:spacing w:before="60" w:line="360" w:lineRule="auto"/>
        <w:ind w:left="735" w:right="420" w:rightChars="200" w:hanging="735" w:hangingChars="350"/>
        <w:rPr>
          <w:rFonts w:ascii="宋体" w:hAnsi="宋体"/>
        </w:rPr>
      </w:pPr>
      <w:r>
        <w:rPr>
          <w:rFonts w:hint="eastAsia" w:ascii="宋体" w:hAnsi="宋体"/>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    </w:t>
      </w:r>
    </w:p>
    <w:p>
      <w:pPr>
        <w:numPr>
          <w:ilvl w:val="0"/>
          <w:numId w:val="13"/>
        </w:numPr>
        <w:tabs>
          <w:tab w:val="left" w:pos="735"/>
        </w:tabs>
        <w:snapToGrid w:val="0"/>
        <w:spacing w:before="60" w:line="360" w:lineRule="auto"/>
        <w:ind w:left="735" w:right="420" w:rightChars="200" w:hanging="735" w:hangingChars="350"/>
        <w:rPr>
          <w:rFonts w:ascii="宋体" w:hAnsi="宋体"/>
        </w:rPr>
      </w:pPr>
      <w:r>
        <w:rPr>
          <w:rFonts w:hint="eastAsia" w:ascii="宋体" w:hAnsi="宋体"/>
        </w:rPr>
        <w:t xml:space="preserve">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（8）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rPr>
        <w:t xml:space="preserve">（9）   </w:t>
      </w:r>
      <w:r>
        <w:rPr>
          <w:rFonts w:hint="eastAsia" w:ascii="宋体"/>
        </w:rPr>
        <w:t>质疑人必须对质疑或投诉内容的真实性承担法律责任。捏造事实或虚假及恶意质疑的，</w:t>
      </w:r>
      <w:r>
        <w:rPr>
          <w:rFonts w:hint="eastAsia"/>
        </w:rPr>
        <w:t>政府采购代理机构可提请同级采购监管部门将其列入不良记录名单，在一至三年内禁止参加政府采购活动，并将处理决定在相关政府采购媒体上公布。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szCs w:val="21"/>
        </w:rPr>
      </w:pP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szCs w:val="21"/>
        </w:rPr>
      </w:pPr>
      <w:r>
        <w:rPr>
          <w:rFonts w:hint="eastAsia" w:ascii="宋体" w:hAnsi="宋体"/>
          <w:szCs w:val="21"/>
        </w:rPr>
        <w:t>（10）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电  话：0766-8399669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传  真：0766-8399669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联系人：林先生</w:t>
      </w:r>
    </w:p>
    <w:p>
      <w:pPr>
        <w:pStyle w:val="4"/>
        <w:ind w:left="840" w:hanging="840" w:hangingChars="400"/>
      </w:pPr>
      <w:r>
        <w:rPr>
          <w:rFonts w:hint="eastAsia" w:hAnsi="宋体"/>
        </w:rPr>
        <w:t>（10）  报价人对采购人或采购代理机构的答复不满意或他们未在规定时间内给予答复的，提出质疑的报价人可以在答复期满后15个工作日内，</w:t>
      </w:r>
      <w:r>
        <w:rPr>
          <w:rFonts w:hint="eastAsia"/>
          <w:spacing w:val="-4"/>
          <w:szCs w:val="21"/>
        </w:rPr>
        <w:t>按如下联系方式向监督管理机构投诉。</w:t>
      </w:r>
    </w:p>
    <w:p>
      <w:pPr>
        <w:spacing w:line="480" w:lineRule="exact"/>
        <w:ind w:right="200" w:firstLine="840" w:firstLineChars="400"/>
      </w:pPr>
      <w:r>
        <w:rPr>
          <w:rFonts w:hint="eastAsia"/>
        </w:rPr>
        <w:t>监督管理机构名称：云浮市云城区臻汇园碧湖新城住宅小区（A区）业主委员会</w:t>
      </w:r>
    </w:p>
    <w:p>
      <w:pPr>
        <w:spacing w:line="480" w:lineRule="exact"/>
        <w:ind w:right="200" w:firstLine="840" w:firstLineChars="400"/>
        <w:rPr>
          <w:rFonts w:ascii="宋体" w:hAnsi="宋体"/>
          <w:szCs w:val="21"/>
        </w:rPr>
      </w:pPr>
      <w:r>
        <w:rPr>
          <w:rFonts w:hint="eastAsia" w:ascii="宋体" w:hAnsi="宋体"/>
          <w:szCs w:val="21"/>
        </w:rPr>
        <w:t>地  址：</w:t>
      </w:r>
      <w:r>
        <w:rPr>
          <w:rFonts w:hint="eastAsia" w:ascii="宋体" w:hAnsi="宋体" w:cs="Tahoma"/>
        </w:rPr>
        <w:t>云浮市金山大道168号</w:t>
      </w:r>
    </w:p>
    <w:p>
      <w:pPr>
        <w:spacing w:line="480" w:lineRule="exact"/>
        <w:ind w:right="200" w:firstLine="840" w:firstLineChars="400"/>
        <w:rPr>
          <w:rFonts w:ascii="宋体" w:hAnsi="宋体"/>
          <w:szCs w:val="21"/>
        </w:rPr>
      </w:pPr>
      <w:r>
        <w:rPr>
          <w:rFonts w:hint="eastAsia" w:ascii="宋体" w:hAnsi="宋体"/>
          <w:szCs w:val="21"/>
        </w:rPr>
        <w:t>电  话：</w:t>
      </w:r>
      <w:r>
        <w:rPr>
          <w:rFonts w:hint="eastAsia" w:ascii="宋体" w:hAnsi="宋体" w:cs="Tahoma"/>
        </w:rPr>
        <w:t>13826738763</w:t>
      </w:r>
    </w:p>
    <w:p>
      <w:pPr>
        <w:spacing w:line="480" w:lineRule="exact"/>
        <w:ind w:right="200"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lang w:val="en-US" w:eastAsia="zh-CN"/>
        </w:rPr>
        <w:t>中标</w:t>
      </w:r>
      <w:r>
        <w:rPr>
          <w:rFonts w:hint="eastAsia" w:ascii="宋体" w:hAnsi="宋体"/>
          <w:szCs w:val="21"/>
        </w:rPr>
        <w:t>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a</w:t>
      </w:r>
      <w:r>
        <w:rPr>
          <w:rFonts w:hint="eastAsia" w:ascii="宋体" w:hAnsi="宋体"/>
          <w:color w:val="auto"/>
          <w:szCs w:val="21"/>
        </w:rPr>
        <w:t>.《</w:t>
      </w:r>
      <w:r>
        <w:rPr>
          <w:rFonts w:ascii="宋体" w:hAnsi="宋体"/>
          <w:color w:val="auto"/>
          <w:szCs w:val="21"/>
        </w:rPr>
        <w:t>云浮市云城区臻汇园碧湖新城住宅小区（A区）物业管理服务项目</w:t>
      </w:r>
      <w:r>
        <w:rPr>
          <w:rFonts w:hint="eastAsia" w:ascii="宋体" w:hAnsi="宋体"/>
          <w:color w:val="auto"/>
          <w:szCs w:val="21"/>
        </w:rPr>
        <w:t>》（合同书格式）</w:t>
      </w:r>
      <w:r>
        <w:rPr>
          <w:rFonts w:hint="eastAsia" w:ascii="宋体" w:hAnsi="宋体"/>
          <w:szCs w:val="21"/>
        </w:rPr>
        <w:t>；</w:t>
      </w:r>
      <w:r>
        <w:rPr>
          <w:rFonts w:ascii="宋体" w:hAnsi="宋体"/>
          <w:szCs w:val="21"/>
        </w:rPr>
        <w:t xml:space="preserve"> </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5.6  成交服务费</w:t>
      </w:r>
    </w:p>
    <w:p>
      <w:pPr>
        <w:pStyle w:val="4"/>
      </w:pPr>
      <w:r>
        <w:rPr>
          <w:rFonts w:hint="eastAsia"/>
        </w:rPr>
        <w:t>（1）</w:t>
      </w:r>
      <w:r>
        <w:rPr>
          <w:rFonts w:hint="eastAsia" w:hAnsi="宋体"/>
        </w:rPr>
        <w:t>中标</w:t>
      </w:r>
      <w:r>
        <w:rPr>
          <w:rFonts w:hint="eastAsia" w:hAnsi="宋体"/>
          <w:spacing w:val="-4"/>
          <w:szCs w:val="21"/>
        </w:rPr>
        <w:t>人</w:t>
      </w:r>
      <w:r>
        <w:rPr>
          <w:rFonts w:hint="eastAsia" w:hAnsi="宋体"/>
        </w:rPr>
        <w:t>在收取《中标通知书》时应向采购代理机构交纳中标服务费，中标人应向采购代理机构交纳中标服务费</w:t>
      </w:r>
      <w:r>
        <w:rPr>
          <w:rFonts w:hint="eastAsia" w:hAnsi="宋体"/>
          <w:b/>
        </w:rPr>
        <w:t>人民币贰万元整（</w:t>
      </w:r>
      <w:r>
        <w:rPr>
          <w:rFonts w:ascii="Arial" w:hAnsi="Arial" w:cs="Arial"/>
          <w:b/>
        </w:rPr>
        <w:t>¥</w:t>
      </w:r>
      <w:r>
        <w:rPr>
          <w:rFonts w:hint="eastAsia" w:ascii="Arial" w:hAnsi="Arial" w:cs="Arial"/>
          <w:b/>
        </w:rPr>
        <w:t>2</w:t>
      </w:r>
      <w:r>
        <w:rPr>
          <w:rFonts w:hint="eastAsia" w:hAnsi="宋体"/>
          <w:b/>
        </w:rPr>
        <w:t>0,000.00元）</w:t>
      </w:r>
      <w:r>
        <w:rPr>
          <w:rFonts w:hint="eastAsia" w:hAnsi="宋体"/>
          <w:bCs/>
        </w:rPr>
        <w:t>。</w:t>
      </w:r>
    </w:p>
    <w:p>
      <w:pPr>
        <w:pStyle w:val="4"/>
        <w:rPr>
          <w:rFonts w:hint="eastAsia" w:hAnsi="宋体"/>
          <w:spacing w:val="-4"/>
          <w:szCs w:val="21"/>
        </w:rPr>
      </w:pPr>
      <w:r>
        <w:rPr>
          <w:rFonts w:hint="eastAsia" w:hAnsi="宋体"/>
        </w:rPr>
        <w:t>(</w:t>
      </w:r>
      <w:r>
        <w:rPr>
          <w:rFonts w:hint="eastAsia" w:hAnsi="宋体"/>
          <w:spacing w:val="-4"/>
          <w:szCs w:val="21"/>
        </w:rPr>
        <w:t>2)成交服务费以人民币支付。</w:t>
      </w:r>
    </w:p>
    <w:p>
      <w:pPr>
        <w:pStyle w:val="4"/>
        <w:rPr>
          <w:rFonts w:hint="eastAsia" w:hAnsi="宋体"/>
          <w:spacing w:val="-4"/>
          <w:szCs w:val="21"/>
        </w:rPr>
      </w:pPr>
      <w:r>
        <w:rPr>
          <w:rFonts w:hint="eastAsia" w:hAnsi="宋体"/>
          <w:spacing w:val="-4"/>
          <w:szCs w:val="21"/>
        </w:rPr>
        <w:t>(3)成交服务费支付方式：一次性以电汇、支票或现金等形式支付。</w:t>
      </w:r>
    </w:p>
    <w:p>
      <w:pPr>
        <w:pStyle w:val="4"/>
        <w:rPr>
          <w:rFonts w:hint="eastAsia" w:hAnsi="宋体"/>
          <w:spacing w:val="-4"/>
          <w:szCs w:val="21"/>
        </w:rPr>
      </w:pPr>
      <w:r>
        <w:rPr>
          <w:rFonts w:hint="eastAsia" w:hAnsi="宋体"/>
          <w:spacing w:val="-4"/>
          <w:szCs w:val="21"/>
        </w:rPr>
        <w:t>(4)成交服务费不在报价中单列。</w:t>
      </w:r>
    </w:p>
    <w:p>
      <w:pPr>
        <w:pStyle w:val="4"/>
        <w:rPr>
          <w:rFonts w:hint="eastAsia" w:hAnsi="宋体"/>
          <w:spacing w:val="-4"/>
          <w:szCs w:val="21"/>
        </w:rPr>
      </w:pPr>
      <w:r>
        <w:rPr>
          <w:rFonts w:hint="eastAsia" w:hAnsi="宋体"/>
          <w:spacing w:val="-4"/>
          <w:szCs w:val="21"/>
        </w:rPr>
        <w:t>(5)报价人如果不按规定交纳成交服务费，采购代理机构将在成交人的报价保证金中抵扣服务费。</w:t>
      </w:r>
    </w:p>
    <w:p>
      <w:pPr>
        <w:pStyle w:val="4"/>
        <w:rPr>
          <w:rFonts w:hint="eastAsia" w:hAnsi="宋体"/>
          <w:color w:val="FF0000"/>
          <w:spacing w:val="-4"/>
          <w:szCs w:val="21"/>
          <w:lang w:val="en-US" w:eastAsia="zh-CN"/>
        </w:rPr>
      </w:pPr>
      <w:r>
        <w:rPr>
          <w:rFonts w:hint="eastAsia" w:hAnsi="宋体"/>
          <w:color w:val="FF0000"/>
          <w:spacing w:val="-4"/>
          <w:szCs w:val="21"/>
          <w:lang w:val="en-US" w:eastAsia="zh-CN"/>
        </w:rPr>
        <w:t>5.7履约保证金</w:t>
      </w:r>
    </w:p>
    <w:p>
      <w:pPr>
        <w:pStyle w:val="4"/>
        <w:ind w:firstLine="404" w:firstLineChars="200"/>
        <w:rPr>
          <w:rFonts w:hint="default" w:hAnsi="宋体"/>
          <w:color w:val="FF0000"/>
          <w:spacing w:val="-4"/>
          <w:szCs w:val="21"/>
          <w:lang w:val="en-US" w:eastAsia="zh-CN"/>
        </w:rPr>
      </w:pPr>
      <w:r>
        <w:rPr>
          <w:rFonts w:hint="eastAsia" w:hAnsi="宋体"/>
          <w:color w:val="FF0000"/>
          <w:spacing w:val="-4"/>
          <w:szCs w:val="21"/>
          <w:lang w:val="en-US" w:eastAsia="zh-CN"/>
        </w:rPr>
        <w:t>如果中标报价人没有按照条款签订合同并提交履约保证金，采购人或采购代理机构将有充分理由取消该中标决定，并没收其投标保证金。在此情况下，采购人或采购代理机构可按本须知规定将合同授予下一个中标候选人，或重新招标。</w:t>
      </w:r>
    </w:p>
    <w:p>
      <w:pPr>
        <w:spacing w:line="480" w:lineRule="exact"/>
        <w:rPr>
          <w:rFonts w:ascii="宋体" w:hAnsi="宋体" w:cs="宋体"/>
          <w:b/>
          <w:bCs/>
          <w:sz w:val="32"/>
          <w:szCs w:val="32"/>
        </w:rPr>
      </w:pPr>
      <w:r>
        <w:rPr>
          <w:rFonts w:hint="eastAsia" w:ascii="宋体" w:hAnsi="宋体" w:cs="宋体"/>
          <w:b/>
          <w:bCs/>
          <w:sz w:val="32"/>
          <w:szCs w:val="32"/>
        </w:rPr>
        <w:t>六、保密约定</w:t>
      </w:r>
    </w:p>
    <w:p>
      <w:pPr>
        <w:spacing w:line="480" w:lineRule="exact"/>
        <w:ind w:firstLine="420" w:firstLineChars="200"/>
        <w:rPr>
          <w:rFonts w:ascii="宋体" w:hAnsi="宋体" w:cs="宋体"/>
        </w:rPr>
      </w:pPr>
      <w:r>
        <w:rPr>
          <w:rFonts w:hint="eastAsia" w:ascii="宋体" w:hAnsi="宋体" w:cs="宋体"/>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rPr>
      </w:pPr>
      <w:r>
        <w:rPr>
          <w:rFonts w:hint="eastAsia" w:ascii="宋体" w:hAnsi="宋体" w:cs="宋体"/>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rPr>
      </w:pPr>
      <w:r>
        <w:rPr>
          <w:rFonts w:hint="eastAsia" w:ascii="宋体" w:hAnsi="宋体" w:cs="宋体"/>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rPr>
      </w:pPr>
      <w:r>
        <w:rPr>
          <w:rFonts w:hint="eastAsia" w:ascii="宋体" w:hAnsi="宋体" w:cs="宋体"/>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hAnsi="宋体" w:cs="宋体"/>
          <w:b w:val="0"/>
          <w:bCs w:val="0"/>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七、磋商文件的解释权</w:t>
      </w:r>
    </w:p>
    <w:p>
      <w:pPr>
        <w:pStyle w:val="4"/>
        <w:snapToGrid w:val="0"/>
        <w:spacing w:before="60"/>
        <w:ind w:left="630" w:hanging="630" w:hangingChars="300"/>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rPr>
        <w:t>7.1   本磋商文件的解释权归</w:t>
      </w:r>
      <w:r>
        <w:rPr>
          <w:rFonts w:hint="eastAsia"/>
          <w:b/>
        </w:rPr>
        <w:t>广东晓君招标采购代理有限公司</w:t>
      </w:r>
      <w:r>
        <w:rPr>
          <w:rFonts w:hint="eastAsia"/>
        </w:rPr>
        <w:t xml:space="preserve">所有。 </w:t>
      </w:r>
    </w:p>
    <w:p>
      <w:pPr>
        <w:pStyle w:val="4"/>
        <w:snapToGrid w:val="0"/>
        <w:spacing w:before="60"/>
        <w:ind w:left="904" w:hanging="904" w:hangingChars="300"/>
        <w:jc w:val="center"/>
        <w:rPr>
          <w:rFonts w:hAnsi="宋体"/>
          <w:b/>
          <w:sz w:val="30"/>
          <w:szCs w:val="30"/>
        </w:rPr>
      </w:pPr>
      <w:r>
        <w:rPr>
          <w:rFonts w:hint="eastAsia"/>
          <w:b/>
          <w:sz w:val="30"/>
          <w:szCs w:val="30"/>
        </w:rPr>
        <w:t>云浮市云城区臻汇园碧湖新城住宅小区（A区）物业管理服务项目</w:t>
      </w:r>
      <w:r>
        <w:rPr>
          <w:rFonts w:hint="eastAsia" w:hAnsi="宋体"/>
          <w:b/>
          <w:sz w:val="30"/>
          <w:szCs w:val="30"/>
        </w:rPr>
        <w:t>（编号：GDXJ19FCS1001）</w:t>
      </w:r>
    </w:p>
    <w:p>
      <w:pPr>
        <w:pStyle w:val="4"/>
        <w:snapToGrid w:val="0"/>
        <w:spacing w:before="60"/>
        <w:ind w:left="904" w:hanging="904" w:hangingChars="300"/>
        <w:jc w:val="center"/>
        <w:rPr>
          <w:b/>
          <w:sz w:val="30"/>
          <w:szCs w:val="30"/>
        </w:rPr>
      </w:pPr>
      <w:r>
        <w:rPr>
          <w:rFonts w:hint="eastAsia" w:hAnsi="宋体"/>
          <w:b/>
          <w:sz w:val="30"/>
          <w:szCs w:val="30"/>
        </w:rPr>
        <w:t>初步评审细则表</w:t>
      </w:r>
    </w:p>
    <w:p>
      <w:pPr>
        <w:wordWrap w:val="0"/>
        <w:spacing w:line="360" w:lineRule="auto"/>
        <w:jc w:val="right"/>
        <w:rPr>
          <w:b/>
          <w:szCs w:val="21"/>
        </w:rPr>
      </w:pPr>
      <w:r>
        <w:rPr>
          <w:rFonts w:hint="eastAsia"/>
          <w:b/>
          <w:sz w:val="28"/>
        </w:rPr>
        <w:t xml:space="preserve">                            </w:t>
      </w:r>
      <w:r>
        <w:rPr>
          <w:rFonts w:hint="eastAsia"/>
          <w:b/>
          <w:szCs w:val="21"/>
        </w:rPr>
        <w:t>评委签名：____________</w:t>
      </w:r>
    </w:p>
    <w:tbl>
      <w:tblPr>
        <w:tblStyle w:val="26"/>
        <w:tblW w:w="15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6443"/>
        <w:gridCol w:w="1836"/>
        <w:gridCol w:w="1835"/>
        <w:gridCol w:w="1837"/>
        <w:gridCol w:w="1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9" w:hRule="atLeast"/>
          <w:jc w:val="center"/>
        </w:trPr>
        <w:tc>
          <w:tcPr>
            <w:tcW w:w="7901" w:type="dxa"/>
            <w:gridSpan w:val="2"/>
            <w:tcBorders>
              <w:tl2br w:val="single" w:color="auto" w:sz="4" w:space="0"/>
            </w:tcBorders>
            <w:vAlign w:val="center"/>
          </w:tcPr>
          <w:p>
            <w:pPr>
              <w:rPr>
                <w:rFonts w:ascii="宋体" w:hAnsi="宋体"/>
              </w:rPr>
            </w:pPr>
            <w:r>
              <w:rPr>
                <w:rFonts w:hint="eastAsia" w:ascii="宋体" w:hAnsi="宋体"/>
              </w:rPr>
              <w:t xml:space="preserve">                                                       报价单位</w:t>
            </w:r>
          </w:p>
          <w:p>
            <w:pPr>
              <w:rPr>
                <w:rFonts w:ascii="宋体" w:hAnsi="宋体"/>
              </w:rPr>
            </w:pPr>
          </w:p>
          <w:p>
            <w:pPr>
              <w:rPr>
                <w:rFonts w:ascii="宋体" w:hAnsi="宋体"/>
              </w:rPr>
            </w:pPr>
            <w:r>
              <w:rPr>
                <w:rFonts w:hint="eastAsia" w:ascii="宋体" w:hAnsi="宋体"/>
              </w:rPr>
              <w:t xml:space="preserve">评审内容           </w:t>
            </w:r>
          </w:p>
        </w:tc>
        <w:tc>
          <w:tcPr>
            <w:tcW w:w="1836" w:type="dxa"/>
            <w:vAlign w:val="center"/>
          </w:tcPr>
          <w:p>
            <w:pPr>
              <w:jc w:val="center"/>
              <w:rPr>
                <w:rFonts w:ascii="宋体" w:hAnsi="宋体"/>
              </w:rPr>
            </w:pPr>
          </w:p>
        </w:tc>
        <w:tc>
          <w:tcPr>
            <w:tcW w:w="1835" w:type="dxa"/>
            <w:vAlign w:val="center"/>
          </w:tcPr>
          <w:p>
            <w:pPr>
              <w:jc w:val="center"/>
              <w:rPr>
                <w:rFonts w:ascii="宋体" w:hAnsi="宋体"/>
                <w:sz w:val="24"/>
              </w:rPr>
            </w:pPr>
          </w:p>
        </w:tc>
        <w:tc>
          <w:tcPr>
            <w:tcW w:w="1837" w:type="dxa"/>
            <w:vAlign w:val="center"/>
          </w:tcPr>
          <w:p>
            <w:pPr>
              <w:jc w:val="center"/>
              <w:rPr>
                <w:rFonts w:ascii="宋体" w:hAnsi="宋体"/>
                <w:sz w:val="24"/>
              </w:rPr>
            </w:pPr>
          </w:p>
        </w:tc>
        <w:tc>
          <w:tcPr>
            <w:tcW w:w="1831"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9" w:hRule="atLeast"/>
          <w:jc w:val="center"/>
        </w:trPr>
        <w:tc>
          <w:tcPr>
            <w:tcW w:w="1458" w:type="dxa"/>
            <w:vAlign w:val="center"/>
          </w:tcPr>
          <w:p>
            <w:pPr>
              <w:jc w:val="both"/>
              <w:rPr>
                <w:rFonts w:ascii="宋体" w:hAnsi="宋体"/>
              </w:rPr>
            </w:pPr>
            <w:r>
              <w:rPr>
                <w:rFonts w:hint="eastAsia" w:ascii="宋体" w:hAnsi="宋体" w:cs="宋体"/>
                <w:szCs w:val="21"/>
              </w:rPr>
              <w:t>资格性审查</w:t>
            </w:r>
          </w:p>
        </w:tc>
        <w:tc>
          <w:tcPr>
            <w:tcW w:w="6443" w:type="dxa"/>
            <w:vAlign w:val="center"/>
          </w:tcPr>
          <w:p>
            <w:pPr>
              <w:jc w:val="both"/>
              <w:rPr>
                <w:rFonts w:ascii="宋体" w:hAnsi="宋体"/>
              </w:rPr>
            </w:pPr>
            <w:r>
              <w:rPr>
                <w:rFonts w:hint="eastAsia" w:ascii="宋体" w:hAnsi="宋体"/>
              </w:rPr>
              <w:t>与公告中</w:t>
            </w:r>
            <w:r>
              <w:rPr>
                <w:rFonts w:hint="eastAsia" w:ascii="宋体" w:hAnsi="宋体" w:cs="Tahoma"/>
              </w:rPr>
              <w:t>合格报价人资格条件</w:t>
            </w:r>
            <w:r>
              <w:rPr>
                <w:rFonts w:hint="eastAsia" w:ascii="宋体" w:hAnsi="宋体"/>
              </w:rPr>
              <w:t>要求一致</w:t>
            </w:r>
          </w:p>
        </w:tc>
        <w:tc>
          <w:tcPr>
            <w:tcW w:w="1836" w:type="dxa"/>
            <w:vAlign w:val="center"/>
          </w:tcPr>
          <w:p>
            <w:pPr>
              <w:jc w:val="center"/>
              <w:rPr>
                <w:rFonts w:ascii="宋体" w:hAnsi="宋体" w:cs="Arial"/>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9" w:hRule="atLeast"/>
          <w:jc w:val="center"/>
        </w:trPr>
        <w:tc>
          <w:tcPr>
            <w:tcW w:w="15240" w:type="dxa"/>
            <w:gridSpan w:val="6"/>
            <w:vAlign w:val="center"/>
          </w:tcPr>
          <w:p>
            <w:pPr>
              <w:jc w:val="center"/>
              <w:rPr>
                <w:rFonts w:ascii="宋体" w:hAnsi="宋体"/>
              </w:rPr>
            </w:pPr>
            <w:r>
              <w:rPr>
                <w:rFonts w:hint="eastAsia" w:ascii="宋体" w:hAnsi="宋体"/>
                <w:b/>
                <w:bCs/>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restart"/>
            <w:vAlign w:val="center"/>
          </w:tcPr>
          <w:p>
            <w:pPr>
              <w:jc w:val="both"/>
              <w:rPr>
                <w:rFonts w:ascii="宋体" w:hAnsi="宋体" w:cs="Arial"/>
              </w:rPr>
            </w:pPr>
            <w:r>
              <w:rPr>
                <w:rFonts w:hint="eastAsia" w:ascii="宋体" w:hAnsi="宋体" w:cs="Arial"/>
              </w:rPr>
              <w:t>符合性审查</w:t>
            </w:r>
          </w:p>
        </w:tc>
        <w:tc>
          <w:tcPr>
            <w:tcW w:w="6443" w:type="dxa"/>
            <w:vAlign w:val="center"/>
          </w:tcPr>
          <w:p>
            <w:pPr>
              <w:jc w:val="both"/>
              <w:rPr>
                <w:rFonts w:ascii="宋体" w:hAnsi="宋体"/>
              </w:rPr>
            </w:pPr>
            <w:r>
              <w:rPr>
                <w:rFonts w:hint="eastAsia" w:ascii="宋体" w:hAnsi="宋体"/>
              </w:rPr>
              <w:t>投标保证金是否已足额递交</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rPr>
              <w:t>报价文件完整、符合磋商文件规定的签署、 盖章</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rPr>
              <w:t>投标有效期是否为90天</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rPr>
              <w:t>服务商务没有重大偏离或保留</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cs="Tahoma"/>
                <w:kern w:val="28"/>
              </w:rPr>
              <w:t>是否满足《用户需求书》中功能要求、质量指标和服务要求</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jc w:val="center"/>
        </w:trPr>
        <w:tc>
          <w:tcPr>
            <w:tcW w:w="1458" w:type="dxa"/>
            <w:vMerge w:val="continue"/>
            <w:vAlign w:val="center"/>
          </w:tcPr>
          <w:p>
            <w:pPr>
              <w:jc w:val="both"/>
              <w:rPr>
                <w:rFonts w:ascii="宋体" w:hAnsi="宋体"/>
              </w:rPr>
            </w:pPr>
          </w:p>
        </w:tc>
        <w:tc>
          <w:tcPr>
            <w:tcW w:w="6443" w:type="dxa"/>
            <w:vAlign w:val="center"/>
          </w:tcPr>
          <w:p>
            <w:pPr>
              <w:jc w:val="both"/>
              <w:rPr>
                <w:rFonts w:ascii="宋体" w:hAnsi="宋体"/>
              </w:rPr>
            </w:pPr>
            <w:r>
              <w:rPr>
                <w:rFonts w:hint="eastAsia" w:ascii="宋体" w:hAnsi="宋体"/>
              </w:rPr>
              <w:t>没有其它未实质性响应磋商文件的要求</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5" w:hRule="atLeast"/>
          <w:jc w:val="center"/>
        </w:trPr>
        <w:tc>
          <w:tcPr>
            <w:tcW w:w="7901" w:type="dxa"/>
            <w:gridSpan w:val="2"/>
            <w:vAlign w:val="center"/>
          </w:tcPr>
          <w:p>
            <w:pPr>
              <w:jc w:val="center"/>
              <w:rPr>
                <w:rFonts w:ascii="宋体" w:hAnsi="宋体"/>
                <w:b/>
              </w:rPr>
            </w:pPr>
            <w:r>
              <w:rPr>
                <w:rFonts w:hint="eastAsia" w:ascii="宋体" w:hAnsi="宋体"/>
                <w:b/>
              </w:rPr>
              <w:t>结         论</w:t>
            </w:r>
          </w:p>
        </w:tc>
        <w:tc>
          <w:tcPr>
            <w:tcW w:w="1836" w:type="dxa"/>
            <w:vAlign w:val="center"/>
          </w:tcPr>
          <w:p>
            <w:pPr>
              <w:jc w:val="center"/>
              <w:rPr>
                <w:rFonts w:ascii="宋体" w:hAnsi="宋体"/>
              </w:rPr>
            </w:pPr>
          </w:p>
        </w:tc>
        <w:tc>
          <w:tcPr>
            <w:tcW w:w="1835" w:type="dxa"/>
            <w:vAlign w:val="center"/>
          </w:tcPr>
          <w:p>
            <w:pPr>
              <w:jc w:val="center"/>
              <w:rPr>
                <w:rFonts w:ascii="宋体" w:hAnsi="宋体"/>
              </w:rPr>
            </w:pPr>
          </w:p>
        </w:tc>
        <w:tc>
          <w:tcPr>
            <w:tcW w:w="1837" w:type="dxa"/>
            <w:vAlign w:val="center"/>
          </w:tcPr>
          <w:p>
            <w:pPr>
              <w:jc w:val="center"/>
              <w:rPr>
                <w:rFonts w:ascii="宋体" w:hAnsi="宋体"/>
              </w:rPr>
            </w:pPr>
          </w:p>
        </w:tc>
        <w:tc>
          <w:tcPr>
            <w:tcW w:w="1831" w:type="dxa"/>
            <w:vAlign w:val="center"/>
          </w:tcPr>
          <w:p>
            <w:pPr>
              <w:jc w:val="center"/>
              <w:rPr>
                <w:rFonts w:ascii="宋体" w:hAnsi="宋体"/>
              </w:rPr>
            </w:pPr>
          </w:p>
        </w:tc>
      </w:tr>
    </w:tbl>
    <w:p>
      <w:pPr>
        <w:spacing w:line="360" w:lineRule="auto"/>
      </w:pPr>
      <w:r>
        <w:rPr>
          <w:rFonts w:hint="eastAsia"/>
        </w:rPr>
        <w:t>1．表中只需填写“√</w:t>
      </w:r>
      <w:r>
        <w:t>/</w:t>
      </w:r>
      <w:r>
        <w:rPr>
          <w:rFonts w:hint="eastAsia"/>
        </w:rPr>
        <w:t>通过”或“X/不通过”          2．在结论栏中按“一票否决”填写“合格”或“不合格”。</w:t>
      </w:r>
    </w:p>
    <w:p>
      <w:pPr>
        <w:spacing w:line="360" w:lineRule="auto"/>
        <w:jc w:val="center"/>
        <w:rPr>
          <w:rFonts w:ascii="宋体" w:hAnsi="宋体"/>
          <w:b/>
          <w:sz w:val="24"/>
          <w:szCs w:val="24"/>
        </w:rPr>
      </w:pPr>
      <w:r>
        <w:rPr>
          <w:rFonts w:hint="eastAsia"/>
        </w:rPr>
        <w:br w:type="page"/>
      </w:r>
      <w:r>
        <w:rPr>
          <w:rFonts w:hint="eastAsia" w:ascii="宋体" w:hAnsi="宋体"/>
          <w:b/>
          <w:sz w:val="24"/>
          <w:szCs w:val="24"/>
        </w:rPr>
        <w:t>云浮市云城区臻汇园碧湖新城住宅小区（A区）物业管理服务项目（编号：GDXJ19FCS1001）</w:t>
      </w:r>
      <w:r>
        <w:rPr>
          <w:rFonts w:hint="eastAsia"/>
          <w:b/>
          <w:sz w:val="24"/>
          <w:szCs w:val="24"/>
        </w:rPr>
        <w:t>服务商务评分表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tbl>
      <w:tblPr>
        <w:tblStyle w:val="26"/>
        <w:tblW w:w="149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407"/>
        <w:gridCol w:w="11001"/>
        <w:gridCol w:w="964"/>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jc w:val="center"/>
        </w:trPr>
        <w:tc>
          <w:tcPr>
            <w:tcW w:w="12991" w:type="dxa"/>
            <w:gridSpan w:val="3"/>
            <w:vAlign w:val="center"/>
            <mc:AlternateContent>
              <mc:Choice Requires="wpsCustomData">
                <wpsCustomData:diagonals>
                  <wpsCustomData:diagonal from="10000" to="30000">
                    <wpsCustomData:border w:val="single" w:color="auto" w:sz="4" w:space="0"/>
                  </wpsCustomData:diagonal>
                </wpsCustomData:diagonals>
              </mc:Choice>
            </mc:AlternateContent>
          </w:tcPr>
          <w:p>
            <w:pPr>
              <w:jc w:val="center"/>
              <w:rPr>
                <w:rFonts w:hint="eastAsia"/>
                <w:szCs w:val="22"/>
                <w:lang w:val="en-US" w:eastAsia="zh-CN"/>
              </w:rPr>
            </w:pPr>
          </w:p>
          <w:p>
            <w:pPr>
              <w:jc w:val="both"/>
              <w:rPr>
                <w:rFonts w:hint="default"/>
                <w:szCs w:val="22"/>
                <w:lang w:val="en-US" w:eastAsia="zh-CN"/>
              </w:rPr>
            </w:pPr>
            <w:r>
              <w:rPr>
                <w:rFonts w:hint="eastAsia"/>
                <w:szCs w:val="22"/>
                <w:lang w:val="en-US" w:eastAsia="zh-CN"/>
              </w:rPr>
              <w:t xml:space="preserve">        评审内容 </w:t>
            </w:r>
          </w:p>
          <w:p>
            <w:pPr>
              <w:jc w:val="center"/>
              <mc:AlternateContent>
                <mc:Choice Requires="wpsCustomData">
                  <wpsCustomData:diagonalParaType/>
                </mc:Choice>
              </mc:AlternateContent>
              <w:rPr>
                <w:rFonts w:hint="eastAsia"/>
                <w:szCs w:val="22"/>
                <w:lang w:val="en-US" w:eastAsia="zh-CN"/>
              </w:rPr>
            </w:pPr>
            <w:r>
              <w:rPr>
                <w:rFonts w:hint="eastAsia"/>
                <w:szCs w:val="22"/>
                <w:lang w:val="en-US" w:eastAsia="zh-CN"/>
              </w:rPr>
              <w:t xml:space="preserve"> </w:t>
            </w:r>
          </w:p>
          <w:p>
            <w:pPr>
              <w:jc w:val="center"/>
              <w:rPr>
                <w:rFonts w:hint="eastAsia"/>
                <w:szCs w:val="22"/>
                <w:lang w:val="en-US" w:eastAsia="zh-CN"/>
              </w:rPr>
            </w:pPr>
            <w:r>
              <w:rPr>
                <w:rFonts w:hint="eastAsia"/>
                <w:szCs w:val="22"/>
                <w:lang w:val="en-US" w:eastAsia="zh-CN"/>
              </w:rPr>
              <w:t xml:space="preserve">                                                           报价人</w:t>
            </w:r>
          </w:p>
        </w:tc>
        <w:tc>
          <w:tcPr>
            <w:tcW w:w="964" w:type="dxa"/>
            <w:vAlign w:val="center"/>
          </w:tcPr>
          <w:p>
            <w:pPr>
              <w:jc w:val="center"/>
              <w:rPr>
                <w:rFonts w:ascii="宋体" w:hAnsi="宋体"/>
                <w:b/>
                <w:sz w:val="18"/>
                <w:szCs w:val="18"/>
              </w:rPr>
            </w:pPr>
            <w:r>
              <w:rPr>
                <w:rFonts w:hint="eastAsia" w:ascii="宋体" w:hAnsi="宋体"/>
                <w:b/>
                <w:sz w:val="18"/>
                <w:szCs w:val="18"/>
              </w:rPr>
              <w:t>分值</w:t>
            </w:r>
          </w:p>
        </w:tc>
        <w:tc>
          <w:tcPr>
            <w:tcW w:w="965" w:type="dxa"/>
            <w:vAlign w:val="center"/>
          </w:tcPr>
          <w:p>
            <w:pPr>
              <w:jc w:val="center"/>
              <w:rPr>
                <w:rFonts w:ascii="宋体" w:hAnsi="宋体"/>
                <w:b/>
                <w:sz w:val="18"/>
                <w:szCs w:val="18"/>
              </w:rPr>
            </w:pPr>
            <w:r>
              <w:rPr>
                <w:rFonts w:hint="eastAsia" w:ascii="宋体" w:hAnsi="宋体"/>
                <w:b/>
                <w:sz w:val="18"/>
                <w:szCs w:val="18"/>
              </w:rPr>
              <w:t>报价人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1</w:t>
            </w:r>
          </w:p>
        </w:tc>
        <w:tc>
          <w:tcPr>
            <w:tcW w:w="1407" w:type="dxa"/>
            <w:vAlign w:val="center"/>
          </w:tcPr>
          <w:p>
            <w:pPr>
              <w:jc w:val="center"/>
              <w:rPr>
                <w:szCs w:val="21"/>
              </w:rPr>
            </w:pPr>
            <w:r>
              <w:rPr>
                <w:rFonts w:hint="eastAsia" w:ascii="宋体" w:hAnsi="宋体" w:cs="宋体"/>
                <w:szCs w:val="21"/>
              </w:rPr>
              <w:t>标书的制作情况</w:t>
            </w:r>
          </w:p>
        </w:tc>
        <w:tc>
          <w:tcPr>
            <w:tcW w:w="11001" w:type="dxa"/>
            <w:vAlign w:val="center"/>
          </w:tcPr>
          <w:p>
            <w:pPr>
              <w:jc w:val="both"/>
              <w:rPr>
                <w:szCs w:val="21"/>
              </w:rPr>
            </w:pPr>
            <w:r>
              <w:rPr>
                <w:rFonts w:hint="eastAsia" w:ascii="宋体" w:hAnsi="宋体" w:cs="宋体"/>
                <w:szCs w:val="21"/>
              </w:rPr>
              <w:t>投标文件按招标文件规定的格式、顺序编制，有目录、编页码，装订成册，书面整洁无涂改，没有缺漏项，价格数量等计算准确进行综合横向对比：优得5分；良得3分；中得1分；差得0分。</w:t>
            </w:r>
          </w:p>
        </w:tc>
        <w:tc>
          <w:tcPr>
            <w:tcW w:w="964" w:type="dxa"/>
            <w:vAlign w:val="center"/>
          </w:tcPr>
          <w:p>
            <w:pPr>
              <w:jc w:val="center"/>
              <w:rPr>
                <w:szCs w:val="21"/>
              </w:rPr>
            </w:pPr>
            <w:r>
              <w:rPr>
                <w:rFonts w:hint="eastAsia" w:ascii="宋体" w:hAnsi="宋体" w:cs="宋体"/>
                <w:szCs w:val="21"/>
              </w:rPr>
              <w:t>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2</w:t>
            </w:r>
          </w:p>
        </w:tc>
        <w:tc>
          <w:tcPr>
            <w:tcW w:w="1407" w:type="dxa"/>
            <w:vAlign w:val="center"/>
          </w:tcPr>
          <w:p>
            <w:pPr>
              <w:spacing w:line="260" w:lineRule="exact"/>
              <w:jc w:val="center"/>
              <w:rPr>
                <w:szCs w:val="21"/>
              </w:rPr>
            </w:pPr>
            <w:r>
              <w:rPr>
                <w:rFonts w:hint="eastAsia" w:ascii="宋体" w:hAnsi="宋体"/>
                <w:szCs w:val="21"/>
              </w:rPr>
              <w:t>实施方案</w:t>
            </w:r>
          </w:p>
        </w:tc>
        <w:tc>
          <w:tcPr>
            <w:tcW w:w="11001" w:type="dxa"/>
            <w:vAlign w:val="center"/>
          </w:tcPr>
          <w:p>
            <w:pPr>
              <w:spacing w:line="260" w:lineRule="exact"/>
              <w:jc w:val="both"/>
              <w:rPr>
                <w:szCs w:val="21"/>
              </w:rPr>
            </w:pPr>
            <w:r>
              <w:rPr>
                <w:rFonts w:hint="eastAsia" w:ascii="宋体" w:hAnsi="宋体"/>
                <w:szCs w:val="21"/>
              </w:rPr>
              <w:t>根据报价人针</w:t>
            </w:r>
            <w:r>
              <w:rPr>
                <w:rFonts w:hint="eastAsia" w:ascii="宋体"/>
                <w:szCs w:val="21"/>
              </w:rPr>
              <w:t>对本项目提供员工管理、出入管理、安全管理、卫生管理和维修管理等物业管理方案</w:t>
            </w:r>
            <w:r>
              <w:rPr>
                <w:rFonts w:hint="eastAsia" w:ascii="宋体" w:hAnsi="宋体"/>
                <w:szCs w:val="21"/>
              </w:rPr>
              <w:t>作综合横向对比：优得15分；良得10分；中得5分；差得0分。</w:t>
            </w:r>
          </w:p>
        </w:tc>
        <w:tc>
          <w:tcPr>
            <w:tcW w:w="964" w:type="dxa"/>
            <w:vAlign w:val="center"/>
          </w:tcPr>
          <w:p>
            <w:pPr>
              <w:jc w:val="center"/>
              <w:rPr>
                <w:szCs w:val="21"/>
              </w:rPr>
            </w:pPr>
            <w:r>
              <w:rPr>
                <w:rFonts w:hint="eastAsia" w:ascii="宋体" w:hAnsi="宋体"/>
                <w:szCs w:val="21"/>
              </w:rPr>
              <w:t>15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3</w:t>
            </w:r>
          </w:p>
        </w:tc>
        <w:tc>
          <w:tcPr>
            <w:tcW w:w="1407" w:type="dxa"/>
            <w:vAlign w:val="center"/>
          </w:tcPr>
          <w:p>
            <w:pPr>
              <w:spacing w:line="260" w:lineRule="exact"/>
              <w:jc w:val="center"/>
              <w:rPr>
                <w:szCs w:val="21"/>
              </w:rPr>
            </w:pPr>
            <w:r>
              <w:rPr>
                <w:rFonts w:hint="eastAsia" w:ascii="宋体" w:hAnsi="宋体"/>
                <w:szCs w:val="21"/>
              </w:rPr>
              <w:t>其他方案</w:t>
            </w:r>
          </w:p>
        </w:tc>
        <w:tc>
          <w:tcPr>
            <w:tcW w:w="11001" w:type="dxa"/>
            <w:vAlign w:val="center"/>
          </w:tcPr>
          <w:p>
            <w:pPr>
              <w:spacing w:line="260" w:lineRule="exact"/>
              <w:jc w:val="both"/>
              <w:rPr>
                <w:szCs w:val="21"/>
              </w:rPr>
            </w:pPr>
            <w:r>
              <w:rPr>
                <w:rFonts w:hint="eastAsia" w:ascii="宋体" w:hAnsi="宋体"/>
                <w:szCs w:val="21"/>
              </w:rPr>
              <w:t>根据报价人提供针对本项目</w:t>
            </w:r>
            <w:r>
              <w:rPr>
                <w:rFonts w:hint="eastAsia" w:ascii="宋体"/>
                <w:szCs w:val="21"/>
              </w:rPr>
              <w:t>管理规章制度及档案建立情况、</w:t>
            </w:r>
            <w:r>
              <w:rPr>
                <w:rFonts w:hint="eastAsia" w:ascii="宋体" w:hAnsi="宋体"/>
                <w:szCs w:val="21"/>
              </w:rPr>
              <w:t>服务人员的培训、作出防止灾害应急情况和突发事件等方案作综合横向对比：优得15分；良得10分；中得5分；差得0分。</w:t>
            </w:r>
          </w:p>
        </w:tc>
        <w:tc>
          <w:tcPr>
            <w:tcW w:w="964" w:type="dxa"/>
            <w:vAlign w:val="center"/>
          </w:tcPr>
          <w:p>
            <w:pPr>
              <w:jc w:val="center"/>
              <w:rPr>
                <w:szCs w:val="21"/>
              </w:rPr>
            </w:pPr>
            <w:r>
              <w:rPr>
                <w:rFonts w:hint="eastAsia" w:ascii="宋体" w:hAnsi="宋体"/>
                <w:szCs w:val="21"/>
              </w:rPr>
              <w:t>15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restart"/>
            <w:vAlign w:val="center"/>
          </w:tcPr>
          <w:p>
            <w:pPr>
              <w:jc w:val="center"/>
              <w:rPr>
                <w:rFonts w:ascii="宋体" w:hAnsi="宋体"/>
                <w:szCs w:val="21"/>
              </w:rPr>
            </w:pPr>
            <w:r>
              <w:rPr>
                <w:rFonts w:hint="eastAsia" w:ascii="宋体" w:hAnsi="宋体"/>
                <w:szCs w:val="21"/>
              </w:rPr>
              <w:t>4</w:t>
            </w:r>
          </w:p>
        </w:tc>
        <w:tc>
          <w:tcPr>
            <w:tcW w:w="1407" w:type="dxa"/>
            <w:vMerge w:val="restart"/>
            <w:vAlign w:val="center"/>
          </w:tcPr>
          <w:p>
            <w:pPr>
              <w:snapToGrid w:val="0"/>
              <w:spacing w:line="300" w:lineRule="exact"/>
              <w:jc w:val="center"/>
              <w:rPr>
                <w:szCs w:val="21"/>
              </w:rPr>
            </w:pPr>
            <w:r>
              <w:rPr>
                <w:rFonts w:hint="eastAsia"/>
                <w:szCs w:val="21"/>
              </w:rPr>
              <w:t>投入人员</w:t>
            </w:r>
          </w:p>
        </w:tc>
        <w:tc>
          <w:tcPr>
            <w:tcW w:w="11001" w:type="dxa"/>
            <w:vAlign w:val="center"/>
          </w:tcPr>
          <w:p>
            <w:pPr>
              <w:snapToGrid w:val="0"/>
              <w:spacing w:line="300" w:lineRule="exact"/>
              <w:jc w:val="both"/>
              <w:rPr>
                <w:szCs w:val="21"/>
              </w:rPr>
            </w:pPr>
            <w:r>
              <w:rPr>
                <w:rFonts w:hint="eastAsia"/>
                <w:szCs w:val="21"/>
              </w:rPr>
              <w:t>报价人提供项目负责人具有物业项目经理人得5分，具有诚信经理人的得5分，满分10分。（提供提供相关人员近3个月内其中一个月的社保证明及其人员相关证书复印加盖公章，原件核查）</w:t>
            </w:r>
          </w:p>
        </w:tc>
        <w:tc>
          <w:tcPr>
            <w:tcW w:w="964" w:type="dxa"/>
            <w:vAlign w:val="center"/>
          </w:tcPr>
          <w:p>
            <w:pPr>
              <w:snapToGrid w:val="0"/>
              <w:spacing w:line="300" w:lineRule="exact"/>
              <w:jc w:val="center"/>
              <w:rPr>
                <w:szCs w:val="21"/>
              </w:rPr>
            </w:pPr>
            <w:r>
              <w:rPr>
                <w:rFonts w:hint="eastAsia" w:hAnsi="宋体"/>
                <w:szCs w:val="21"/>
              </w:rPr>
              <w:t>10</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continue"/>
            <w:vAlign w:val="center"/>
          </w:tcPr>
          <w:p>
            <w:pPr>
              <w:jc w:val="center"/>
              <w:rPr>
                <w:rFonts w:ascii="宋体" w:hAnsi="宋体"/>
                <w:szCs w:val="21"/>
              </w:rPr>
            </w:pPr>
          </w:p>
        </w:tc>
        <w:tc>
          <w:tcPr>
            <w:tcW w:w="1407" w:type="dxa"/>
            <w:vMerge w:val="continue"/>
            <w:vAlign w:val="center"/>
          </w:tcPr>
          <w:p>
            <w:pPr>
              <w:snapToGrid w:val="0"/>
              <w:spacing w:line="300" w:lineRule="exact"/>
              <w:jc w:val="center"/>
              <w:rPr>
                <w:szCs w:val="21"/>
              </w:rPr>
            </w:pPr>
          </w:p>
        </w:tc>
        <w:tc>
          <w:tcPr>
            <w:tcW w:w="11001" w:type="dxa"/>
            <w:vAlign w:val="center"/>
          </w:tcPr>
          <w:p>
            <w:pPr>
              <w:snapToGrid w:val="0"/>
              <w:spacing w:line="300" w:lineRule="exact"/>
              <w:jc w:val="both"/>
              <w:rPr>
                <w:rFonts w:hAnsi="宋体"/>
                <w:szCs w:val="21"/>
              </w:rPr>
            </w:pPr>
            <w:r>
              <w:rPr>
                <w:rFonts w:hint="eastAsia" w:hAnsi="宋体"/>
                <w:szCs w:val="21"/>
              </w:rPr>
              <w:t>报价人提供电工人员1名得5分，满分10分</w:t>
            </w:r>
            <w:r>
              <w:rPr>
                <w:rFonts w:hint="eastAsia"/>
                <w:szCs w:val="21"/>
              </w:rPr>
              <w:t>（提供相关人员近3个月内其中一个月的保险证明及电工人员相关证书，不提供不得分）</w:t>
            </w:r>
          </w:p>
        </w:tc>
        <w:tc>
          <w:tcPr>
            <w:tcW w:w="964" w:type="dxa"/>
            <w:vAlign w:val="center"/>
          </w:tcPr>
          <w:p>
            <w:pPr>
              <w:snapToGrid w:val="0"/>
              <w:spacing w:line="300" w:lineRule="exact"/>
              <w:jc w:val="center"/>
              <w:rPr>
                <w:rFonts w:hAnsi="宋体"/>
                <w:szCs w:val="21"/>
              </w:rPr>
            </w:pPr>
            <w:r>
              <w:rPr>
                <w:rFonts w:hint="eastAsia" w:hAnsi="宋体"/>
                <w:szCs w:val="21"/>
              </w:rPr>
              <w:t>10</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continue"/>
            <w:vAlign w:val="center"/>
          </w:tcPr>
          <w:p>
            <w:pPr>
              <w:jc w:val="center"/>
              <w:rPr>
                <w:rFonts w:ascii="宋体" w:hAnsi="宋体"/>
                <w:szCs w:val="21"/>
              </w:rPr>
            </w:pPr>
          </w:p>
        </w:tc>
        <w:tc>
          <w:tcPr>
            <w:tcW w:w="1407" w:type="dxa"/>
            <w:vMerge w:val="continue"/>
            <w:vAlign w:val="center"/>
          </w:tcPr>
          <w:p>
            <w:pPr>
              <w:snapToGrid w:val="0"/>
              <w:spacing w:line="300" w:lineRule="exact"/>
              <w:jc w:val="center"/>
              <w:rPr>
                <w:szCs w:val="21"/>
              </w:rPr>
            </w:pPr>
          </w:p>
        </w:tc>
        <w:tc>
          <w:tcPr>
            <w:tcW w:w="11001" w:type="dxa"/>
            <w:vAlign w:val="center"/>
          </w:tcPr>
          <w:p>
            <w:pPr>
              <w:snapToGrid w:val="0"/>
              <w:spacing w:line="300" w:lineRule="exact"/>
              <w:jc w:val="both"/>
              <w:rPr>
                <w:rFonts w:hAnsi="宋体"/>
                <w:szCs w:val="21"/>
              </w:rPr>
            </w:pPr>
            <w:r>
              <w:rPr>
                <w:rFonts w:hint="eastAsia"/>
              </w:rPr>
              <w:t>报价人投入安保相关人员 1名得2分，满分10分。（</w:t>
            </w:r>
            <w:r>
              <w:rPr>
                <w:rFonts w:hint="eastAsia"/>
                <w:szCs w:val="21"/>
              </w:rPr>
              <w:t>提供相关人员近3个月内其中一个月的保险证明及</w:t>
            </w:r>
            <w:r>
              <w:rPr>
                <w:rFonts w:hint="eastAsia"/>
              </w:rPr>
              <w:t>退役军人或曾经从事辅警工作等相关证明文件，不提供不得分）</w:t>
            </w:r>
          </w:p>
        </w:tc>
        <w:tc>
          <w:tcPr>
            <w:tcW w:w="964" w:type="dxa"/>
            <w:vAlign w:val="center"/>
          </w:tcPr>
          <w:p>
            <w:pPr>
              <w:snapToGrid w:val="0"/>
              <w:spacing w:line="300" w:lineRule="exact"/>
              <w:jc w:val="center"/>
              <w:rPr>
                <w:rFonts w:hAnsi="宋体"/>
                <w:szCs w:val="21"/>
              </w:rPr>
            </w:pPr>
            <w:r>
              <w:rPr>
                <w:rFonts w:hint="eastAsia" w:hAnsi="宋体"/>
                <w:szCs w:val="21"/>
              </w:rPr>
              <w:t>10</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continue"/>
            <w:vAlign w:val="center"/>
          </w:tcPr>
          <w:p>
            <w:pPr>
              <w:jc w:val="center"/>
              <w:rPr>
                <w:rFonts w:ascii="宋体" w:hAnsi="宋体"/>
                <w:szCs w:val="21"/>
              </w:rPr>
            </w:pPr>
          </w:p>
        </w:tc>
        <w:tc>
          <w:tcPr>
            <w:tcW w:w="1407" w:type="dxa"/>
            <w:vMerge w:val="continue"/>
            <w:vAlign w:val="center"/>
          </w:tcPr>
          <w:p>
            <w:pPr>
              <w:snapToGrid w:val="0"/>
              <w:spacing w:line="300" w:lineRule="exact"/>
              <w:jc w:val="center"/>
              <w:rPr>
                <w:rFonts w:hAnsi="宋体"/>
                <w:szCs w:val="21"/>
              </w:rPr>
            </w:pPr>
          </w:p>
        </w:tc>
        <w:tc>
          <w:tcPr>
            <w:tcW w:w="11001" w:type="dxa"/>
            <w:vAlign w:val="center"/>
          </w:tcPr>
          <w:p>
            <w:pPr>
              <w:snapToGrid w:val="0"/>
              <w:spacing w:line="300" w:lineRule="exact"/>
              <w:jc w:val="both"/>
              <w:rPr>
                <w:rFonts w:hAnsi="宋体"/>
                <w:szCs w:val="21"/>
              </w:rPr>
            </w:pPr>
            <w:r>
              <w:rPr>
                <w:rFonts w:hint="eastAsia" w:hAnsi="宋体"/>
                <w:szCs w:val="21"/>
              </w:rPr>
              <w:t>报价人提供电梯安全管理人员1名得5分，满分5分。</w:t>
            </w:r>
            <w:r>
              <w:rPr>
                <w:rFonts w:hint="eastAsia"/>
                <w:szCs w:val="21"/>
              </w:rPr>
              <w:t>（提供相关人员近3个月内其中一个月的保险证明及电梯管理人员相关证书，不提供不得分）</w:t>
            </w:r>
          </w:p>
        </w:tc>
        <w:tc>
          <w:tcPr>
            <w:tcW w:w="964" w:type="dxa"/>
            <w:vAlign w:val="center"/>
          </w:tcPr>
          <w:p>
            <w:pPr>
              <w:snapToGrid w:val="0"/>
              <w:spacing w:line="300" w:lineRule="exact"/>
              <w:jc w:val="center"/>
              <w:rPr>
                <w:rFonts w:hAnsi="宋体"/>
                <w:szCs w:val="21"/>
              </w:rPr>
            </w:pPr>
            <w:r>
              <w:rPr>
                <w:rFonts w:hint="eastAsia"/>
                <w:szCs w:val="21"/>
              </w:rPr>
              <w:t>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Merge w:val="continue"/>
            <w:vAlign w:val="center"/>
          </w:tcPr>
          <w:p>
            <w:pPr>
              <w:jc w:val="center"/>
              <w:rPr>
                <w:rFonts w:ascii="宋体" w:hAnsi="宋体"/>
                <w:szCs w:val="21"/>
              </w:rPr>
            </w:pPr>
          </w:p>
        </w:tc>
        <w:tc>
          <w:tcPr>
            <w:tcW w:w="1407" w:type="dxa"/>
            <w:vMerge w:val="continue"/>
            <w:vAlign w:val="center"/>
          </w:tcPr>
          <w:p>
            <w:pPr>
              <w:snapToGrid w:val="0"/>
              <w:spacing w:line="300" w:lineRule="exact"/>
              <w:jc w:val="center"/>
              <w:rPr>
                <w:rFonts w:hAnsi="宋体"/>
                <w:szCs w:val="21"/>
              </w:rPr>
            </w:pPr>
          </w:p>
        </w:tc>
        <w:tc>
          <w:tcPr>
            <w:tcW w:w="11001" w:type="dxa"/>
            <w:vAlign w:val="center"/>
          </w:tcPr>
          <w:p>
            <w:pPr>
              <w:snapToGrid w:val="0"/>
              <w:spacing w:line="300" w:lineRule="exact"/>
              <w:jc w:val="both"/>
              <w:rPr>
                <w:szCs w:val="21"/>
              </w:rPr>
            </w:pPr>
            <w:r>
              <w:rPr>
                <w:rFonts w:hint="eastAsia"/>
                <w:szCs w:val="21"/>
              </w:rPr>
              <w:t>根据报价人投入项目相关人员计划（根据符合本小区的具体状况，合理安排）作横向对比：优得15分；良得10分；中得5分；差得0分。</w:t>
            </w:r>
          </w:p>
        </w:tc>
        <w:tc>
          <w:tcPr>
            <w:tcW w:w="964" w:type="dxa"/>
            <w:vAlign w:val="center"/>
          </w:tcPr>
          <w:p>
            <w:pPr>
              <w:snapToGrid w:val="0"/>
              <w:spacing w:line="300" w:lineRule="exact"/>
              <w:jc w:val="center"/>
              <w:rPr>
                <w:szCs w:val="21"/>
              </w:rPr>
            </w:pPr>
            <w:r>
              <w:rPr>
                <w:rFonts w:hint="eastAsia"/>
                <w:szCs w:val="21"/>
              </w:rPr>
              <w:t>15</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5</w:t>
            </w:r>
          </w:p>
        </w:tc>
        <w:tc>
          <w:tcPr>
            <w:tcW w:w="1407" w:type="dxa"/>
            <w:vAlign w:val="center"/>
          </w:tcPr>
          <w:p>
            <w:pPr>
              <w:spacing w:line="260" w:lineRule="exact"/>
              <w:jc w:val="center"/>
              <w:rPr>
                <w:szCs w:val="21"/>
              </w:rPr>
            </w:pPr>
            <w:r>
              <w:rPr>
                <w:rFonts w:hint="eastAsia"/>
                <w:szCs w:val="21"/>
              </w:rPr>
              <w:t>项目出资</w:t>
            </w:r>
          </w:p>
        </w:tc>
        <w:tc>
          <w:tcPr>
            <w:tcW w:w="11001" w:type="dxa"/>
            <w:vAlign w:val="center"/>
          </w:tcPr>
          <w:p>
            <w:pPr>
              <w:spacing w:line="260" w:lineRule="exact"/>
              <w:jc w:val="both"/>
              <w:rPr>
                <w:szCs w:val="21"/>
              </w:rPr>
            </w:pPr>
            <w:r>
              <w:rPr>
                <w:rFonts w:hint="eastAsia" w:ascii="宋体" w:hAnsi="宋体"/>
                <w:szCs w:val="21"/>
              </w:rPr>
              <w:t>对各报价人承诺如若中标签订合同后六个月内投入___万元资金（若投标单位不投入资金的可填0万元）的出资情况作横向对比：第一名得6分，第二名得5分，第三名得4分，每往后一名扣一分。</w:t>
            </w:r>
          </w:p>
        </w:tc>
        <w:tc>
          <w:tcPr>
            <w:tcW w:w="964" w:type="dxa"/>
            <w:vAlign w:val="center"/>
          </w:tcPr>
          <w:p>
            <w:pPr>
              <w:snapToGrid w:val="0"/>
              <w:spacing w:line="300" w:lineRule="exact"/>
              <w:jc w:val="center"/>
              <w:rPr>
                <w:szCs w:val="21"/>
              </w:rPr>
            </w:pPr>
            <w:r>
              <w:rPr>
                <w:rFonts w:hint="eastAsia"/>
                <w:szCs w:val="21"/>
              </w:rPr>
              <w:t>6</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7</w:t>
            </w:r>
          </w:p>
        </w:tc>
        <w:tc>
          <w:tcPr>
            <w:tcW w:w="1407" w:type="dxa"/>
            <w:vAlign w:val="center"/>
          </w:tcPr>
          <w:p>
            <w:pPr>
              <w:jc w:val="center"/>
              <w:rPr>
                <w:szCs w:val="21"/>
              </w:rPr>
            </w:pPr>
            <w:r>
              <w:rPr>
                <w:rFonts w:hint="eastAsia" w:ascii="宋体" w:hAnsi="宋体" w:cs="宋体"/>
                <w:szCs w:val="21"/>
              </w:rPr>
              <w:t>投标人信用</w:t>
            </w:r>
          </w:p>
        </w:tc>
        <w:tc>
          <w:tcPr>
            <w:tcW w:w="11001" w:type="dxa"/>
            <w:vAlign w:val="center"/>
          </w:tcPr>
          <w:p>
            <w:pPr>
              <w:jc w:val="both"/>
              <w:rPr>
                <w:szCs w:val="21"/>
              </w:rPr>
            </w:pPr>
            <w:r>
              <w:rPr>
                <w:rFonts w:hint="eastAsia"/>
                <w:szCs w:val="21"/>
              </w:rPr>
              <w:t xml:space="preserve">报价人获得中国企业信用等级（按国家标准分三等九级制）评定A等级得2分，AA等级得2.5分,AAA等级得3分；B等级得0.5分，BB等级得1分，BBB等级得1.5分；投标时未提供的不予得分。（提供信用证书复印件并加盖公章，原件核查） </w:t>
            </w:r>
          </w:p>
        </w:tc>
        <w:tc>
          <w:tcPr>
            <w:tcW w:w="964" w:type="dxa"/>
            <w:vAlign w:val="center"/>
          </w:tcPr>
          <w:p>
            <w:pPr>
              <w:jc w:val="center"/>
              <w:rPr>
                <w:szCs w:val="21"/>
              </w:rPr>
            </w:pPr>
            <w:r>
              <w:rPr>
                <w:rFonts w:hint="eastAsia" w:ascii="宋体" w:hAnsi="宋体" w:cs="宋体"/>
                <w:szCs w:val="21"/>
              </w:rPr>
              <w:t>3</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szCs w:val="21"/>
              </w:rPr>
            </w:pPr>
            <w:r>
              <w:rPr>
                <w:rFonts w:hint="eastAsia" w:ascii="宋体" w:hAnsi="宋体"/>
                <w:szCs w:val="21"/>
              </w:rPr>
              <w:t>8</w:t>
            </w:r>
          </w:p>
        </w:tc>
        <w:tc>
          <w:tcPr>
            <w:tcW w:w="1407" w:type="dxa"/>
            <w:vAlign w:val="center"/>
          </w:tcPr>
          <w:p>
            <w:pPr>
              <w:spacing w:line="260" w:lineRule="exact"/>
              <w:jc w:val="center"/>
              <w:rPr>
                <w:szCs w:val="21"/>
              </w:rPr>
            </w:pPr>
            <w:r>
              <w:rPr>
                <w:rFonts w:hint="eastAsia"/>
                <w:szCs w:val="21"/>
              </w:rPr>
              <w:t>荣誉证书</w:t>
            </w:r>
          </w:p>
        </w:tc>
        <w:tc>
          <w:tcPr>
            <w:tcW w:w="11001" w:type="dxa"/>
            <w:vAlign w:val="center"/>
          </w:tcPr>
          <w:p>
            <w:pPr>
              <w:spacing w:line="260" w:lineRule="exact"/>
              <w:jc w:val="both"/>
              <w:rPr>
                <w:szCs w:val="21"/>
              </w:rPr>
            </w:pPr>
            <w:r>
              <w:rPr>
                <w:rFonts w:hint="eastAsia"/>
                <w:szCs w:val="21"/>
              </w:rPr>
              <w:t>报价人具有诚信经营示范单位的得2分；（提供相关证明文件复印件加盖公章，原件核查）</w:t>
            </w:r>
          </w:p>
        </w:tc>
        <w:tc>
          <w:tcPr>
            <w:tcW w:w="964" w:type="dxa"/>
            <w:vAlign w:val="center"/>
          </w:tcPr>
          <w:p>
            <w:pPr>
              <w:jc w:val="center"/>
              <w:rPr>
                <w:szCs w:val="21"/>
              </w:rPr>
            </w:pPr>
            <w:r>
              <w:rPr>
                <w:rFonts w:hint="eastAsia"/>
                <w:szCs w:val="21"/>
              </w:rPr>
              <w:t>2</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83" w:type="dxa"/>
            <w:vAlign w:val="center"/>
          </w:tcPr>
          <w:p>
            <w:pPr>
              <w:jc w:val="center"/>
              <w:rPr>
                <w:rFonts w:ascii="宋体" w:hAnsi="宋体" w:cs="宋体"/>
                <w:szCs w:val="21"/>
              </w:rPr>
            </w:pPr>
            <w:r>
              <w:rPr>
                <w:rFonts w:hint="eastAsia" w:ascii="宋体" w:hAnsi="宋体" w:cs="宋体"/>
                <w:szCs w:val="21"/>
              </w:rPr>
              <w:t>9</w:t>
            </w:r>
          </w:p>
        </w:tc>
        <w:tc>
          <w:tcPr>
            <w:tcW w:w="1407" w:type="dxa"/>
            <w:vAlign w:val="center"/>
          </w:tcPr>
          <w:p>
            <w:pPr>
              <w:jc w:val="center"/>
              <w:rPr>
                <w:rFonts w:ascii="宋体" w:hAnsi="宋体" w:cs="宋体"/>
                <w:szCs w:val="21"/>
              </w:rPr>
            </w:pPr>
            <w:r>
              <w:rPr>
                <w:rFonts w:hint="eastAsia" w:ascii="宋体" w:hAnsi="宋体" w:cs="宋体"/>
                <w:szCs w:val="21"/>
              </w:rPr>
              <w:t>项目业绩</w:t>
            </w:r>
          </w:p>
        </w:tc>
        <w:tc>
          <w:tcPr>
            <w:tcW w:w="11001" w:type="dxa"/>
            <w:vAlign w:val="center"/>
          </w:tcPr>
          <w:p>
            <w:pPr>
              <w:jc w:val="both"/>
              <w:rPr>
                <w:rFonts w:ascii="宋体" w:hAnsi="宋体" w:cs="宋体"/>
                <w:szCs w:val="21"/>
              </w:rPr>
            </w:pPr>
            <w:r>
              <w:rPr>
                <w:rFonts w:hint="eastAsia" w:ascii="宋体" w:hAnsi="宋体" w:cs="宋体"/>
                <w:szCs w:val="21"/>
              </w:rPr>
              <w:t>投标人二年来（2017年至今）承接的同类项目业绩，提供1项业绩得2分，满分4分。（提供合同关键页复印件加盖公章，原件核查）</w:t>
            </w:r>
          </w:p>
        </w:tc>
        <w:tc>
          <w:tcPr>
            <w:tcW w:w="964" w:type="dxa"/>
            <w:vAlign w:val="center"/>
          </w:tcPr>
          <w:p>
            <w:pPr>
              <w:jc w:val="center"/>
              <w:rPr>
                <w:szCs w:val="21"/>
              </w:rPr>
            </w:pPr>
            <w:r>
              <w:rPr>
                <w:rFonts w:hint="eastAsia" w:ascii="宋体" w:hAnsi="宋体" w:cs="宋体"/>
                <w:szCs w:val="21"/>
              </w:rPr>
              <w:t>4</w:t>
            </w:r>
          </w:p>
        </w:tc>
        <w:tc>
          <w:tcPr>
            <w:tcW w:w="965" w:type="dxa"/>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991" w:type="dxa"/>
            <w:gridSpan w:val="3"/>
            <w:vAlign w:val="center"/>
          </w:tcPr>
          <w:p>
            <w:pPr>
              <w:jc w:val="center"/>
              <w:rPr>
                <w:rFonts w:ascii="宋体" w:hAnsi="宋体" w:cs="宋体"/>
                <w:szCs w:val="21"/>
              </w:rPr>
            </w:pPr>
            <w:r>
              <w:rPr>
                <w:rFonts w:hint="eastAsia" w:ascii="宋体" w:hAnsi="宋体" w:cs="宋体"/>
                <w:szCs w:val="21"/>
              </w:rPr>
              <w:t>合计得分</w:t>
            </w:r>
          </w:p>
        </w:tc>
        <w:tc>
          <w:tcPr>
            <w:tcW w:w="964" w:type="dxa"/>
            <w:vAlign w:val="center"/>
          </w:tcPr>
          <w:p>
            <w:pPr>
              <w:snapToGrid w:val="0"/>
              <w:spacing w:line="300" w:lineRule="exact"/>
              <w:jc w:val="center"/>
              <w:rPr>
                <w:rFonts w:hAnsi="宋体"/>
                <w:szCs w:val="21"/>
              </w:rPr>
            </w:pPr>
            <w:r>
              <w:rPr>
                <w:rFonts w:hint="eastAsia" w:hAnsi="宋体"/>
                <w:szCs w:val="21"/>
              </w:rPr>
              <w:t>100</w:t>
            </w:r>
          </w:p>
        </w:tc>
        <w:tc>
          <w:tcPr>
            <w:tcW w:w="965" w:type="dxa"/>
            <w:vAlign w:val="center"/>
          </w:tcPr>
          <w:p>
            <w:pPr>
              <w:snapToGrid w:val="0"/>
              <w:spacing w:line="300" w:lineRule="exact"/>
              <w:jc w:val="center"/>
              <w:rPr>
                <w:rFonts w:hAnsi="宋体"/>
                <w:szCs w:val="21"/>
              </w:rPr>
            </w:pPr>
          </w:p>
        </w:tc>
      </w:tr>
    </w:tbl>
    <w:p>
      <w:r>
        <w:rPr>
          <w:rFonts w:hint="eastAsia"/>
        </w:rPr>
        <w:t>注：1、评委按分项的规定分数范围内给各报价人进行打分，并统计总分。</w:t>
      </w:r>
    </w:p>
    <w:p>
      <w:pPr>
        <w:spacing w:line="360" w:lineRule="auto"/>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Lines="100" w:line="360" w:lineRule="auto"/>
        <w:jc w:val="center"/>
        <w:rPr>
          <w:rFonts w:ascii="宋体" w:hAnsi="宋体"/>
          <w:b/>
          <w:szCs w:val="21"/>
        </w:rPr>
      </w:pPr>
    </w:p>
    <w:p>
      <w:pPr>
        <w:adjustRightInd w:val="0"/>
        <w:snapToGrid w:val="0"/>
        <w:spacing w:line="360" w:lineRule="auto"/>
        <w:rPr>
          <w:rFonts w:ascii="宋体" w:hAnsi="宋体"/>
          <w:b/>
          <w:szCs w:val="21"/>
        </w:rPr>
      </w:pPr>
    </w:p>
    <w:p>
      <w:pPr>
        <w:spacing w:line="480" w:lineRule="exact"/>
        <w:ind w:left="8" w:hanging="8"/>
        <w:rPr>
          <w:rFonts w:ascii="宋体" w:hAnsi="宋体"/>
          <w:szCs w:val="21"/>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r>
        <w:br w:type="page"/>
      </w:r>
    </w:p>
    <w:p>
      <w:pPr>
        <w:tabs>
          <w:tab w:val="left" w:pos="3255"/>
        </w:tabs>
        <w:adjustRightInd w:val="0"/>
        <w:snapToGrid w:val="0"/>
        <w:spacing w:line="480" w:lineRule="exact"/>
        <w:ind w:left="738" w:hanging="738" w:hangingChars="350"/>
        <w:outlineLvl w:val="0"/>
        <w:rPr>
          <w:rFonts w:ascii="宋体" w:hAnsi="宋体" w:cs="宋体"/>
          <w:b/>
          <w:szCs w:val="21"/>
        </w:rPr>
      </w:pPr>
      <w:r>
        <w:rPr>
          <w:rFonts w:hint="eastAsia" w:ascii="宋体" w:hAnsi="宋体" w:cs="宋体"/>
          <w:b/>
          <w:szCs w:val="21"/>
        </w:rPr>
        <w:t>注：1、磋商文件中，加★项是实质性响应要求。报价人要特别加以注意，必须对此回答并完全满足这些要求。否则若有一项“★”的指标未响应或不满足，将按无效报价处理。</w:t>
      </w:r>
    </w:p>
    <w:p>
      <w:pPr>
        <w:spacing w:line="480" w:lineRule="exact"/>
        <w:ind w:left="840" w:hanging="840" w:hangingChars="400"/>
        <w:rPr>
          <w:rFonts w:ascii="宋体" w:hAnsi="宋体" w:cs="宋体"/>
          <w:b/>
        </w:rPr>
      </w:pPr>
      <w:r>
        <w:rPr>
          <w:rFonts w:hint="eastAsia" w:ascii="宋体" w:hAnsi="宋体" w:cs="宋体"/>
        </w:rPr>
        <w:t xml:space="preserve">    </w:t>
      </w:r>
      <w:r>
        <w:rPr>
          <w:rFonts w:hint="eastAsia" w:ascii="宋体" w:hAnsi="宋体" w:cs="宋体"/>
          <w:b/>
        </w:rPr>
        <w:t>2、磋商文件中，如标有“▲”的条款均为评审的重要评分指标，报价人若有部分“▲”条款未响应或不满足，将导致其响应性评审严重扣分。</w:t>
      </w:r>
    </w:p>
    <w:p>
      <w:pPr>
        <w:spacing w:line="480" w:lineRule="exact"/>
        <w:rPr>
          <w:rFonts w:ascii="宋体" w:hAnsi="宋体"/>
          <w:b/>
          <w:bCs/>
          <w:sz w:val="30"/>
          <w:szCs w:val="30"/>
          <w:lang w:val="zh-CN"/>
        </w:rPr>
      </w:pPr>
    </w:p>
    <w:p>
      <w:pPr>
        <w:tabs>
          <w:tab w:val="left" w:pos="3255"/>
        </w:tabs>
        <w:adjustRightInd w:val="0"/>
        <w:snapToGrid w:val="0"/>
        <w:spacing w:line="480" w:lineRule="auto"/>
        <w:outlineLvl w:val="0"/>
        <w:rPr>
          <w:rFonts w:ascii="宋体" w:hAnsi="宋体"/>
          <w:b/>
          <w:sz w:val="28"/>
          <w:szCs w:val="28"/>
        </w:rPr>
      </w:pPr>
      <w:r>
        <w:rPr>
          <w:rFonts w:hint="eastAsia" w:ascii="宋体" w:hAnsi="宋体"/>
          <w:b/>
          <w:sz w:val="28"/>
          <w:szCs w:val="28"/>
        </w:rPr>
        <w:t>一、项目概述</w:t>
      </w:r>
    </w:p>
    <w:p>
      <w:pPr>
        <w:spacing w:line="480" w:lineRule="auto"/>
        <w:rPr>
          <w:sz w:val="24"/>
          <w:szCs w:val="24"/>
        </w:rPr>
      </w:pPr>
      <w:r>
        <w:rPr>
          <w:rFonts w:hint="eastAsia"/>
          <w:sz w:val="24"/>
          <w:szCs w:val="24"/>
        </w:rPr>
        <w:t xml:space="preserve">1、项目名称：云浮市云城区臻汇园碧湖新城住宅小区（A区）物业管理服务项目 </w:t>
      </w:r>
    </w:p>
    <w:p>
      <w:pPr>
        <w:spacing w:line="480" w:lineRule="auto"/>
        <w:rPr>
          <w:sz w:val="24"/>
          <w:szCs w:val="24"/>
        </w:rPr>
      </w:pPr>
      <w:r>
        <w:rPr>
          <w:rFonts w:hint="eastAsia"/>
          <w:sz w:val="24"/>
          <w:szCs w:val="24"/>
        </w:rPr>
        <w:t>2、服务期：60个月，服务性质：包干制（自负营亏）。</w:t>
      </w:r>
    </w:p>
    <w:p>
      <w:pPr>
        <w:spacing w:line="480" w:lineRule="auto"/>
        <w:rPr>
          <w:sz w:val="24"/>
          <w:szCs w:val="24"/>
        </w:rPr>
      </w:pPr>
      <w:r>
        <w:rPr>
          <w:rFonts w:hint="eastAsia"/>
          <w:sz w:val="24"/>
          <w:szCs w:val="24"/>
        </w:rPr>
        <w:t>3、以国家二级物业服务标准管理。</w:t>
      </w:r>
    </w:p>
    <w:p>
      <w:pPr>
        <w:spacing w:line="480" w:lineRule="auto"/>
      </w:pPr>
      <w:r>
        <w:rPr>
          <w:rFonts w:hint="eastAsia"/>
          <w:b/>
          <w:bCs/>
          <w:sz w:val="28"/>
          <w:szCs w:val="28"/>
        </w:rPr>
        <w:t>二、项目内容</w:t>
      </w:r>
    </w:p>
    <w:p>
      <w:pPr>
        <w:spacing w:line="360" w:lineRule="auto"/>
        <w:ind w:firstLine="480" w:firstLineChars="200"/>
        <w:rPr>
          <w:sz w:val="24"/>
          <w:szCs w:val="32"/>
        </w:rPr>
      </w:pPr>
      <w:r>
        <w:rPr>
          <w:rFonts w:hint="eastAsia"/>
          <w:sz w:val="24"/>
          <w:szCs w:val="32"/>
        </w:rPr>
        <w:t>物业</w:t>
      </w:r>
      <w:r>
        <w:rPr>
          <w:sz w:val="24"/>
        </w:rPr>
        <w:t>项目</w:t>
      </w:r>
      <w:r>
        <w:rPr>
          <w:rFonts w:hint="eastAsia"/>
          <w:sz w:val="24"/>
          <w:szCs w:val="32"/>
        </w:rPr>
        <w:t>名称</w:t>
      </w:r>
      <w:r>
        <w:rPr>
          <w:sz w:val="24"/>
          <w:szCs w:val="32"/>
        </w:rPr>
        <w:t>:</w:t>
      </w:r>
      <w:r>
        <w:rPr>
          <w:rFonts w:hint="eastAsia"/>
          <w:sz w:val="24"/>
          <w:szCs w:val="32"/>
        </w:rPr>
        <w:t>云浮市云城区臻汇园碧湖新城住宅小区（</w:t>
      </w:r>
      <w:r>
        <w:rPr>
          <w:sz w:val="24"/>
          <w:szCs w:val="32"/>
        </w:rPr>
        <w:t>A</w:t>
      </w:r>
      <w:r>
        <w:rPr>
          <w:rFonts w:hint="eastAsia"/>
          <w:sz w:val="24"/>
          <w:szCs w:val="32"/>
        </w:rPr>
        <w:t>区）</w:t>
      </w:r>
    </w:p>
    <w:p>
      <w:pPr>
        <w:spacing w:line="360" w:lineRule="auto"/>
        <w:rPr>
          <w:sz w:val="24"/>
          <w:szCs w:val="32"/>
        </w:rPr>
      </w:pPr>
      <w:r>
        <w:rPr>
          <w:sz w:val="24"/>
          <w:szCs w:val="32"/>
        </w:rPr>
        <w:t xml:space="preserve">    </w:t>
      </w:r>
      <w:r>
        <w:rPr>
          <w:rFonts w:hint="eastAsia"/>
          <w:sz w:val="24"/>
          <w:szCs w:val="32"/>
        </w:rPr>
        <w:t>物业类型：商住小区</w:t>
      </w:r>
    </w:p>
    <w:p>
      <w:pPr>
        <w:spacing w:line="360" w:lineRule="auto"/>
        <w:rPr>
          <w:sz w:val="24"/>
        </w:rPr>
      </w:pPr>
      <w:r>
        <w:rPr>
          <w:sz w:val="24"/>
        </w:rPr>
        <w:t xml:space="preserve">    座落位置：坐落于云浮市</w:t>
      </w:r>
      <w:r>
        <w:rPr>
          <w:rFonts w:hint="eastAsia"/>
          <w:sz w:val="24"/>
          <w:szCs w:val="32"/>
        </w:rPr>
        <w:t>云城区</w:t>
      </w:r>
      <w:r>
        <w:rPr>
          <w:sz w:val="24"/>
        </w:rPr>
        <w:t>金山大道168号。</w:t>
      </w:r>
    </w:p>
    <w:p>
      <w:pPr>
        <w:spacing w:line="360" w:lineRule="auto"/>
        <w:ind w:firstLine="480" w:firstLineChars="200"/>
        <w:rPr>
          <w:sz w:val="24"/>
        </w:rPr>
      </w:pPr>
      <w:r>
        <w:rPr>
          <w:sz w:val="24"/>
        </w:rPr>
        <w:t>物业项目规划范围：东至金山大道；南至浩林西路；西至环市中路；北至玉屏路。</w:t>
      </w:r>
    </w:p>
    <w:p>
      <w:pPr>
        <w:pStyle w:val="72"/>
        <w:spacing w:line="360" w:lineRule="auto"/>
        <w:ind w:firstLine="480"/>
        <w:rPr>
          <w:sz w:val="24"/>
          <w:szCs w:val="32"/>
        </w:rPr>
      </w:pPr>
      <w:r>
        <w:rPr>
          <w:sz w:val="24"/>
        </w:rPr>
        <w:t>物业项目总建筑面积 279932万平方米。其中包括：住宅1554套，建筑面积  214761平方米；专有产权车位共1278个，停车场建筑面积45555平方米；商铺118卡，建筑面积18438平方米，</w:t>
      </w:r>
      <w:r>
        <w:rPr>
          <w:sz w:val="28"/>
        </w:rPr>
        <w:t>有喷泉的大型景观湖一个</w:t>
      </w:r>
      <w:r>
        <w:rPr>
          <w:rFonts w:ascii="宋体" w:hAnsi="宋体" w:cs="宋体"/>
          <w:sz w:val="24"/>
        </w:rPr>
        <w:t>，</w:t>
      </w:r>
      <w:r>
        <w:rPr>
          <w:sz w:val="24"/>
          <w:szCs w:val="32"/>
        </w:rPr>
        <w:t>有住宅楼</w:t>
      </w:r>
      <w:r>
        <w:rPr>
          <w:sz w:val="24"/>
          <w:szCs w:val="32"/>
          <w:u w:val="single"/>
        </w:rPr>
        <w:t>22</w:t>
      </w:r>
      <w:r>
        <w:rPr>
          <w:sz w:val="24"/>
          <w:szCs w:val="32"/>
        </w:rPr>
        <w:t>幢，电梯</w:t>
      </w:r>
      <w:r>
        <w:rPr>
          <w:sz w:val="24"/>
          <w:szCs w:val="32"/>
          <w:u w:val="single"/>
        </w:rPr>
        <w:t>45</w:t>
      </w:r>
      <w:r>
        <w:rPr>
          <w:sz w:val="24"/>
          <w:szCs w:val="32"/>
        </w:rPr>
        <w:t>台，目前行人入口</w:t>
      </w:r>
      <w:r>
        <w:rPr>
          <w:sz w:val="24"/>
          <w:szCs w:val="32"/>
          <w:u w:val="single"/>
        </w:rPr>
        <w:t>3</w:t>
      </w:r>
      <w:r>
        <w:rPr>
          <w:sz w:val="24"/>
          <w:szCs w:val="32"/>
        </w:rPr>
        <w:t>个、车库出入口</w:t>
      </w:r>
      <w:r>
        <w:rPr>
          <w:sz w:val="24"/>
          <w:szCs w:val="32"/>
          <w:u w:val="single"/>
        </w:rPr>
        <w:t>2</w:t>
      </w:r>
      <w:r>
        <w:rPr>
          <w:sz w:val="24"/>
          <w:szCs w:val="32"/>
        </w:rPr>
        <w:t>个。</w:t>
      </w:r>
    </w:p>
    <w:tbl>
      <w:tblPr>
        <w:tblStyle w:val="27"/>
        <w:tblW w:w="9280"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6"/>
        <w:gridCol w:w="2103"/>
        <w:gridCol w:w="4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2946"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Cs w:val="22"/>
              </w:rPr>
            </w:pPr>
            <w:r>
              <w:rPr>
                <w:rFonts w:hint="eastAsia" w:ascii="Calibri" w:hAnsi="Calibri"/>
                <w:kern w:val="2"/>
                <w:szCs w:val="22"/>
              </w:rPr>
              <w:t>采购内容</w:t>
            </w:r>
          </w:p>
        </w:tc>
        <w:tc>
          <w:tcPr>
            <w:tcW w:w="2103"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Cs w:val="22"/>
              </w:rPr>
            </w:pPr>
            <w:r>
              <w:rPr>
                <w:rFonts w:hint="eastAsia" w:ascii="Calibri" w:hAnsi="Calibri"/>
                <w:kern w:val="2"/>
                <w:szCs w:val="22"/>
              </w:rPr>
              <w:t>服务期</w:t>
            </w:r>
          </w:p>
        </w:tc>
        <w:tc>
          <w:tcPr>
            <w:tcW w:w="4231"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Cs w:val="22"/>
              </w:rPr>
            </w:pPr>
            <w:r>
              <w:rPr>
                <w:rFonts w:hint="eastAsia" w:ascii="Calibri" w:hAnsi="Calibri"/>
                <w:kern w:val="2"/>
                <w:szCs w:val="22"/>
              </w:rPr>
              <w:t>服务费标准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8" w:hRule="atLeast"/>
        </w:trPr>
        <w:tc>
          <w:tcPr>
            <w:tcW w:w="2946"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 w:val="24"/>
                <w:szCs w:val="24"/>
              </w:rPr>
            </w:pPr>
          </w:p>
          <w:p>
            <w:pPr>
              <w:jc w:val="center"/>
              <w:rPr>
                <w:rFonts w:ascii="Calibri" w:hAnsi="Calibri"/>
                <w:kern w:val="2"/>
                <w:sz w:val="24"/>
                <w:szCs w:val="24"/>
              </w:rPr>
            </w:pPr>
            <w:r>
              <w:rPr>
                <w:rFonts w:hint="eastAsia" w:ascii="Calibri" w:hAnsi="Calibri"/>
                <w:kern w:val="2"/>
                <w:sz w:val="24"/>
                <w:szCs w:val="24"/>
              </w:rPr>
              <w:t>物业服务</w:t>
            </w:r>
          </w:p>
        </w:tc>
        <w:tc>
          <w:tcPr>
            <w:tcW w:w="2103"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kern w:val="2"/>
                <w:sz w:val="24"/>
                <w:szCs w:val="24"/>
              </w:rPr>
            </w:pPr>
          </w:p>
          <w:p>
            <w:pPr>
              <w:jc w:val="center"/>
              <w:rPr>
                <w:rFonts w:ascii="Calibri" w:hAnsi="Calibri"/>
                <w:kern w:val="2"/>
                <w:sz w:val="24"/>
                <w:szCs w:val="24"/>
              </w:rPr>
            </w:pPr>
            <w:r>
              <w:rPr>
                <w:rFonts w:ascii="Calibri" w:hAnsi="Calibri"/>
                <w:kern w:val="2"/>
                <w:sz w:val="24"/>
                <w:szCs w:val="24"/>
              </w:rPr>
              <w:t>60</w:t>
            </w:r>
            <w:r>
              <w:rPr>
                <w:rFonts w:hint="eastAsia" w:ascii="Calibri" w:hAnsi="Calibri"/>
                <w:kern w:val="2"/>
                <w:sz w:val="24"/>
                <w:szCs w:val="24"/>
              </w:rPr>
              <w:t>个月</w:t>
            </w:r>
          </w:p>
        </w:tc>
        <w:tc>
          <w:tcPr>
            <w:tcW w:w="4231" w:type="dxa"/>
            <w:tcBorders>
              <w:top w:val="single" w:color="auto" w:sz="4" w:space="0"/>
              <w:left w:val="single" w:color="auto" w:sz="4" w:space="0"/>
              <w:bottom w:val="single" w:color="auto" w:sz="4" w:space="0"/>
              <w:right w:val="single" w:color="auto" w:sz="4" w:space="0"/>
            </w:tcBorders>
            <w:vAlign w:val="center"/>
          </w:tcPr>
          <w:p>
            <w:pPr>
              <w:jc w:val="center"/>
              <w:rPr>
                <w:rFonts w:ascii="Calibri" w:hAnsi="Calibri" w:cstheme="minorHAnsi"/>
                <w:kern w:val="2"/>
                <w:sz w:val="24"/>
                <w:szCs w:val="24"/>
              </w:rPr>
            </w:pPr>
            <w:r>
              <w:rPr>
                <w:rFonts w:hint="eastAsia" w:ascii="Calibri" w:hAnsi="Calibri"/>
                <w:kern w:val="2"/>
                <w:sz w:val="24"/>
                <w:szCs w:val="24"/>
              </w:rPr>
              <w:t>住宅：</w:t>
            </w:r>
            <w:r>
              <w:rPr>
                <w:rFonts w:ascii="Calibri" w:hAnsi="Calibri"/>
                <w:kern w:val="2"/>
                <w:sz w:val="24"/>
                <w:szCs w:val="24"/>
              </w:rPr>
              <w:t>1.5</w:t>
            </w:r>
            <w:r>
              <w:rPr>
                <w:rFonts w:hint="eastAsia" w:ascii="Calibri" w:hAnsi="Calibri"/>
                <w:kern w:val="2"/>
                <w:sz w:val="24"/>
                <w:szCs w:val="24"/>
              </w:rPr>
              <w:t>元</w:t>
            </w:r>
            <w:r>
              <w:rPr>
                <w:rFonts w:ascii="Calibri" w:hAnsi="Calibri"/>
                <w:kern w:val="2"/>
                <w:sz w:val="24"/>
                <w:szCs w:val="24"/>
              </w:rPr>
              <w:t>/</w:t>
            </w:r>
            <w:r>
              <w:rPr>
                <w:rFonts w:hint="eastAsia" w:ascii="宋体" w:hAnsi="宋体" w:cs="宋体"/>
                <w:kern w:val="2"/>
                <w:sz w:val="24"/>
                <w:szCs w:val="24"/>
              </w:rPr>
              <w:t>㎡</w:t>
            </w:r>
            <w:r>
              <w:rPr>
                <w:rFonts w:ascii="Calibri" w:hAnsi="Calibri" w:cstheme="minorHAnsi"/>
                <w:kern w:val="2"/>
                <w:sz w:val="24"/>
                <w:szCs w:val="24"/>
              </w:rPr>
              <w:t>/</w:t>
            </w:r>
            <w:r>
              <w:rPr>
                <w:rFonts w:hint="eastAsia" w:ascii="Calibri" w:hAnsi="Calibri" w:cstheme="minorHAnsi"/>
                <w:kern w:val="2"/>
                <w:sz w:val="24"/>
                <w:szCs w:val="24"/>
              </w:rPr>
              <w:t>月</w:t>
            </w:r>
          </w:p>
          <w:p>
            <w:pPr>
              <w:jc w:val="center"/>
              <w:rPr>
                <w:rFonts w:ascii="Calibri" w:hAnsi="Calibri" w:cstheme="minorHAnsi"/>
                <w:kern w:val="2"/>
                <w:sz w:val="24"/>
                <w:szCs w:val="24"/>
              </w:rPr>
            </w:pPr>
            <w:r>
              <w:rPr>
                <w:rFonts w:hint="eastAsia" w:ascii="Calibri" w:hAnsi="Calibri" w:cstheme="minorHAnsi"/>
                <w:kern w:val="2"/>
                <w:sz w:val="24"/>
                <w:szCs w:val="24"/>
              </w:rPr>
              <w:t>车位：</w:t>
            </w:r>
            <w:r>
              <w:rPr>
                <w:rFonts w:ascii="Calibri" w:hAnsi="Calibri" w:cstheme="minorHAnsi"/>
                <w:kern w:val="2"/>
                <w:sz w:val="24"/>
                <w:szCs w:val="24"/>
              </w:rPr>
              <w:t>30</w:t>
            </w:r>
            <w:r>
              <w:rPr>
                <w:rFonts w:hint="eastAsia" w:ascii="Calibri" w:hAnsi="Calibri" w:cstheme="minorHAnsi"/>
                <w:kern w:val="2"/>
                <w:sz w:val="24"/>
                <w:szCs w:val="24"/>
              </w:rPr>
              <w:t>元</w:t>
            </w:r>
            <w:r>
              <w:rPr>
                <w:rFonts w:ascii="Calibri" w:hAnsi="Calibri" w:cstheme="minorHAnsi"/>
                <w:kern w:val="2"/>
                <w:sz w:val="24"/>
                <w:szCs w:val="24"/>
              </w:rPr>
              <w:t>/</w:t>
            </w:r>
            <w:r>
              <w:rPr>
                <w:rFonts w:hint="eastAsia" w:ascii="Calibri" w:hAnsi="Calibri" w:cstheme="minorHAnsi"/>
                <w:kern w:val="2"/>
                <w:sz w:val="24"/>
                <w:szCs w:val="24"/>
              </w:rPr>
              <w:t>个</w:t>
            </w:r>
            <w:r>
              <w:rPr>
                <w:rFonts w:ascii="Calibri" w:hAnsi="Calibri" w:cstheme="minorHAnsi"/>
                <w:kern w:val="2"/>
                <w:sz w:val="24"/>
                <w:szCs w:val="24"/>
              </w:rPr>
              <w:t>/</w:t>
            </w:r>
            <w:r>
              <w:rPr>
                <w:rFonts w:hint="eastAsia" w:ascii="Calibri" w:hAnsi="Calibri" w:cstheme="minorHAnsi"/>
                <w:kern w:val="2"/>
                <w:sz w:val="24"/>
                <w:szCs w:val="24"/>
              </w:rPr>
              <w:t>月</w:t>
            </w:r>
          </w:p>
          <w:p>
            <w:pPr>
              <w:jc w:val="center"/>
              <w:rPr>
                <w:rFonts w:ascii="Calibri" w:hAnsi="Calibri" w:cstheme="minorHAnsi"/>
                <w:kern w:val="2"/>
                <w:sz w:val="24"/>
                <w:szCs w:val="24"/>
              </w:rPr>
            </w:pPr>
            <w:r>
              <w:rPr>
                <w:rFonts w:hint="eastAsia" w:ascii="Calibri" w:hAnsi="Calibri" w:cstheme="minorHAnsi"/>
                <w:kern w:val="2"/>
                <w:sz w:val="24"/>
                <w:szCs w:val="24"/>
              </w:rPr>
              <w:t>商铺：</w:t>
            </w:r>
            <w:r>
              <w:rPr>
                <w:rFonts w:ascii="Calibri" w:hAnsi="Calibri" w:cstheme="minorHAnsi"/>
                <w:kern w:val="2"/>
                <w:sz w:val="24"/>
                <w:szCs w:val="24"/>
              </w:rPr>
              <w:t>3</w:t>
            </w:r>
            <w:r>
              <w:rPr>
                <w:rFonts w:hint="eastAsia" w:ascii="Calibri" w:hAnsi="Calibri" w:cstheme="minorHAnsi"/>
                <w:kern w:val="2"/>
                <w:sz w:val="24"/>
                <w:szCs w:val="24"/>
              </w:rPr>
              <w:t>元</w:t>
            </w:r>
            <w:r>
              <w:rPr>
                <w:rFonts w:ascii="Calibri" w:hAnsi="Calibri" w:cstheme="minorHAnsi"/>
                <w:kern w:val="2"/>
                <w:sz w:val="24"/>
                <w:szCs w:val="24"/>
              </w:rPr>
              <w:t>/</w:t>
            </w:r>
            <w:r>
              <w:rPr>
                <w:rFonts w:hint="eastAsia" w:ascii="宋体" w:hAnsi="宋体" w:cs="宋体"/>
                <w:kern w:val="2"/>
                <w:sz w:val="24"/>
                <w:szCs w:val="24"/>
              </w:rPr>
              <w:t>㎡</w:t>
            </w:r>
            <w:r>
              <w:rPr>
                <w:rFonts w:ascii="Calibri" w:hAnsi="Calibri" w:cstheme="minorHAnsi"/>
                <w:kern w:val="2"/>
                <w:sz w:val="24"/>
                <w:szCs w:val="24"/>
              </w:rPr>
              <w:t>/</w:t>
            </w:r>
            <w:r>
              <w:rPr>
                <w:rFonts w:hint="eastAsia" w:ascii="Calibri" w:hAnsi="Calibri" w:cstheme="minorHAnsi"/>
                <w:kern w:val="2"/>
                <w:sz w:val="24"/>
                <w:szCs w:val="24"/>
              </w:rPr>
              <w:t>月</w:t>
            </w:r>
          </w:p>
          <w:p>
            <w:pPr>
              <w:jc w:val="center"/>
              <w:rPr>
                <w:rFonts w:ascii="Calibri" w:hAnsi="Calibri" w:cstheme="minorHAnsi"/>
                <w:kern w:val="2"/>
                <w:sz w:val="24"/>
                <w:szCs w:val="24"/>
              </w:rPr>
            </w:pPr>
            <w:r>
              <w:rPr>
                <w:rFonts w:hint="eastAsia" w:ascii="Calibri" w:hAnsi="Calibri" w:cstheme="minorHAnsi"/>
                <w:kern w:val="2"/>
                <w:sz w:val="24"/>
                <w:szCs w:val="24"/>
              </w:rPr>
              <w:t>摩托车：</w:t>
            </w:r>
            <w:r>
              <w:rPr>
                <w:rFonts w:ascii="Calibri" w:hAnsi="Calibri" w:cstheme="minorHAnsi"/>
                <w:kern w:val="2"/>
                <w:sz w:val="24"/>
                <w:szCs w:val="24"/>
              </w:rPr>
              <w:t>10</w:t>
            </w:r>
            <w:r>
              <w:rPr>
                <w:rFonts w:hint="eastAsia" w:ascii="Calibri" w:hAnsi="Calibri" w:cstheme="minorHAnsi"/>
                <w:kern w:val="2"/>
                <w:sz w:val="24"/>
                <w:szCs w:val="24"/>
              </w:rPr>
              <w:t>元</w:t>
            </w:r>
            <w:r>
              <w:rPr>
                <w:rFonts w:ascii="Calibri" w:hAnsi="Calibri" w:cstheme="minorHAnsi"/>
                <w:kern w:val="2"/>
                <w:sz w:val="24"/>
                <w:szCs w:val="24"/>
              </w:rPr>
              <w:t>/</w:t>
            </w:r>
            <w:r>
              <w:rPr>
                <w:rFonts w:hint="eastAsia" w:ascii="Calibri" w:hAnsi="Calibri" w:cstheme="minorHAnsi"/>
                <w:kern w:val="2"/>
                <w:sz w:val="24"/>
                <w:szCs w:val="24"/>
              </w:rPr>
              <w:t>个</w:t>
            </w:r>
            <w:r>
              <w:rPr>
                <w:rFonts w:ascii="Calibri" w:hAnsi="Calibri" w:cstheme="minorHAnsi"/>
                <w:kern w:val="2"/>
                <w:sz w:val="24"/>
                <w:szCs w:val="24"/>
              </w:rPr>
              <w:t>/</w:t>
            </w:r>
            <w:r>
              <w:rPr>
                <w:rFonts w:hint="eastAsia" w:ascii="Calibri" w:hAnsi="Calibri" w:cstheme="minorHAnsi"/>
                <w:kern w:val="2"/>
                <w:sz w:val="24"/>
                <w:szCs w:val="24"/>
              </w:rPr>
              <w:t>月</w:t>
            </w:r>
          </w:p>
        </w:tc>
      </w:tr>
    </w:tbl>
    <w:p>
      <w:pPr>
        <w:pStyle w:val="72"/>
        <w:spacing w:line="360" w:lineRule="auto"/>
        <w:ind w:firstLine="480"/>
        <w:rPr>
          <w:sz w:val="24"/>
          <w:szCs w:val="24"/>
        </w:rPr>
      </w:pPr>
      <w:r>
        <w:rPr>
          <w:rFonts w:hint="eastAsia"/>
          <w:sz w:val="24"/>
          <w:szCs w:val="24"/>
          <w:lang w:val="en-US" w:eastAsia="zh-CN"/>
        </w:rPr>
        <w:t>注：1、</w:t>
      </w:r>
      <w:r>
        <w:rPr>
          <w:rFonts w:hint="eastAsia"/>
          <w:sz w:val="24"/>
          <w:szCs w:val="24"/>
        </w:rPr>
        <w:t>小区公共收益由物业管理公司收取</w:t>
      </w:r>
      <w:r>
        <w:rPr>
          <w:sz w:val="24"/>
          <w:szCs w:val="24"/>
        </w:rPr>
        <w:t>10%</w:t>
      </w:r>
      <w:r>
        <w:rPr>
          <w:rFonts w:hint="eastAsia"/>
          <w:sz w:val="24"/>
          <w:szCs w:val="24"/>
        </w:rPr>
        <w:t>的管理费。</w:t>
      </w:r>
    </w:p>
    <w:p>
      <w:pPr>
        <w:spacing w:line="480" w:lineRule="auto"/>
        <w:ind w:firstLine="960" w:firstLineChars="400"/>
        <w:rPr>
          <w:rFonts w:hint="eastAsia" w:eastAsia="宋体"/>
          <w:sz w:val="24"/>
          <w:szCs w:val="32"/>
          <w:lang w:eastAsia="zh-CN"/>
        </w:rPr>
      </w:pPr>
      <w:r>
        <w:rPr>
          <w:rFonts w:hint="eastAsia" w:ascii="宋体" w:hAnsi="宋体" w:cs="宋体"/>
          <w:color w:val="FF0000"/>
          <w:sz w:val="24"/>
          <w:szCs w:val="24"/>
          <w:lang w:val="en-US" w:eastAsia="zh-CN"/>
        </w:rPr>
        <w:t>2、</w:t>
      </w:r>
      <w:r>
        <w:rPr>
          <w:rFonts w:ascii="宋体" w:hAnsi="宋体" w:cs="宋体"/>
          <w:color w:val="FF0000"/>
          <w:sz w:val="24"/>
          <w:szCs w:val="24"/>
        </w:rPr>
        <w:t>物业管理服务人员（不少于）</w:t>
      </w:r>
      <w:r>
        <w:rPr>
          <w:color w:val="FF0000"/>
          <w:sz w:val="24"/>
        </w:rPr>
        <w:t>58人</w:t>
      </w:r>
      <w:r>
        <w:rPr>
          <w:rFonts w:hint="eastAsia"/>
          <w:color w:val="FF0000"/>
          <w:sz w:val="24"/>
          <w:lang w:eastAsia="zh-CN"/>
        </w:rPr>
        <w:t>。</w:t>
      </w:r>
    </w:p>
    <w:p>
      <w:pPr>
        <w:spacing w:line="480" w:lineRule="auto"/>
        <w:rPr>
          <w:sz w:val="24"/>
          <w:szCs w:val="32"/>
        </w:rPr>
      </w:pPr>
      <w:r>
        <w:rPr>
          <w:rFonts w:hint="eastAsia"/>
          <w:sz w:val="24"/>
          <w:szCs w:val="32"/>
        </w:rPr>
        <w:t>服务范围：物业管理区域范围内，业主户门以外</w:t>
      </w:r>
    </w:p>
    <w:p>
      <w:pPr>
        <w:spacing w:line="480" w:lineRule="auto"/>
        <w:rPr>
          <w:sz w:val="24"/>
          <w:szCs w:val="32"/>
        </w:rPr>
      </w:pPr>
      <w:r>
        <w:rPr>
          <w:rFonts w:hint="eastAsia"/>
          <w:sz w:val="24"/>
          <w:szCs w:val="32"/>
        </w:rPr>
        <w:t xml:space="preserve">1、保持小区设备系统正常及有效的运作； </w:t>
      </w:r>
    </w:p>
    <w:p>
      <w:pPr>
        <w:spacing w:line="480" w:lineRule="auto"/>
        <w:rPr>
          <w:sz w:val="24"/>
          <w:szCs w:val="32"/>
        </w:rPr>
      </w:pPr>
      <w:r>
        <w:rPr>
          <w:rFonts w:hint="eastAsia"/>
          <w:sz w:val="24"/>
          <w:szCs w:val="32"/>
        </w:rPr>
        <w:t xml:space="preserve">2、保持小区所有公共地方的保洁； </w:t>
      </w:r>
    </w:p>
    <w:p>
      <w:pPr>
        <w:spacing w:line="480" w:lineRule="auto"/>
        <w:rPr>
          <w:sz w:val="24"/>
          <w:szCs w:val="32"/>
        </w:rPr>
      </w:pPr>
      <w:r>
        <w:rPr>
          <w:rFonts w:hint="eastAsia"/>
          <w:sz w:val="24"/>
          <w:szCs w:val="32"/>
        </w:rPr>
        <w:t xml:space="preserve">3、保持小区内所有公共地方设施、绿化处于良好状况； </w:t>
      </w:r>
    </w:p>
    <w:p>
      <w:pPr>
        <w:spacing w:line="480" w:lineRule="auto"/>
        <w:rPr>
          <w:sz w:val="24"/>
          <w:szCs w:val="32"/>
        </w:rPr>
      </w:pPr>
      <w:r>
        <w:rPr>
          <w:rFonts w:hint="eastAsia"/>
          <w:sz w:val="24"/>
          <w:szCs w:val="32"/>
        </w:rPr>
        <w:t xml:space="preserve">4、维持小区的公共秩序及业主/住户安全； </w:t>
      </w:r>
    </w:p>
    <w:p>
      <w:pPr>
        <w:spacing w:line="480" w:lineRule="auto"/>
        <w:rPr>
          <w:sz w:val="24"/>
          <w:szCs w:val="32"/>
        </w:rPr>
      </w:pPr>
      <w:r>
        <w:rPr>
          <w:rFonts w:hint="eastAsia"/>
          <w:sz w:val="24"/>
          <w:szCs w:val="32"/>
        </w:rPr>
        <w:t xml:space="preserve">5、物业服务公司为小区提供全天候的维修保养公共设施设备服务； </w:t>
      </w:r>
    </w:p>
    <w:p>
      <w:pPr>
        <w:spacing w:line="480" w:lineRule="auto"/>
        <w:rPr>
          <w:sz w:val="24"/>
          <w:szCs w:val="32"/>
        </w:rPr>
      </w:pPr>
      <w:r>
        <w:rPr>
          <w:rFonts w:hint="eastAsia"/>
          <w:sz w:val="24"/>
          <w:szCs w:val="32"/>
        </w:rPr>
        <w:t xml:space="preserve">6、保持及不断改善小区环境，包括小区的节日装饰等； </w:t>
      </w:r>
    </w:p>
    <w:p>
      <w:pPr>
        <w:spacing w:line="480" w:lineRule="auto"/>
        <w:rPr>
          <w:sz w:val="24"/>
          <w:szCs w:val="32"/>
        </w:rPr>
      </w:pPr>
      <w:r>
        <w:rPr>
          <w:rFonts w:hint="eastAsia"/>
          <w:sz w:val="24"/>
          <w:szCs w:val="32"/>
        </w:rPr>
        <w:t xml:space="preserve">7、联络、协调及配合政府有关部门的行政管理行为； </w:t>
      </w:r>
    </w:p>
    <w:p>
      <w:pPr>
        <w:spacing w:line="480" w:lineRule="auto"/>
        <w:rPr>
          <w:sz w:val="24"/>
          <w:szCs w:val="32"/>
        </w:rPr>
      </w:pPr>
      <w:r>
        <w:rPr>
          <w:rFonts w:hint="eastAsia"/>
          <w:sz w:val="24"/>
          <w:szCs w:val="32"/>
        </w:rPr>
        <w:t xml:space="preserve">8、解答及处理业主/住户有关小区物业管理服务的查询及投诉； </w:t>
      </w:r>
    </w:p>
    <w:p>
      <w:pPr>
        <w:spacing w:line="480" w:lineRule="auto"/>
        <w:rPr>
          <w:sz w:val="24"/>
          <w:szCs w:val="32"/>
        </w:rPr>
      </w:pPr>
      <w:r>
        <w:rPr>
          <w:rFonts w:hint="eastAsia"/>
          <w:sz w:val="24"/>
          <w:szCs w:val="32"/>
        </w:rPr>
        <w:t xml:space="preserve">9、在小区内适当地方，设立公告栏，公布小区物业服务中心的通告或有关管理服务的其它事项，为业主/住户提供信息服务； </w:t>
      </w:r>
    </w:p>
    <w:p>
      <w:pPr>
        <w:spacing w:line="480" w:lineRule="auto"/>
        <w:rPr>
          <w:sz w:val="24"/>
          <w:szCs w:val="32"/>
        </w:rPr>
      </w:pPr>
      <w:r>
        <w:rPr>
          <w:rFonts w:hint="eastAsia"/>
          <w:sz w:val="24"/>
          <w:szCs w:val="32"/>
        </w:rPr>
        <w:t xml:space="preserve">10、中标人建设“物业服务中心”为业主/住户提供一站式服务，除公共服务外，还提供有偿服务，包括单元内维修保养、家居清洁、装修咨询、绿化园林养护、房屋租赁等特约服务； </w:t>
      </w:r>
    </w:p>
    <w:p>
      <w:pPr>
        <w:spacing w:line="480" w:lineRule="auto"/>
        <w:rPr>
          <w:sz w:val="24"/>
          <w:szCs w:val="32"/>
        </w:rPr>
      </w:pPr>
      <w:r>
        <w:rPr>
          <w:rFonts w:hint="eastAsia"/>
          <w:sz w:val="24"/>
          <w:szCs w:val="32"/>
        </w:rPr>
        <w:t>11、定期策划、组织小区业主/住户活动及社区文化建设；</w:t>
      </w:r>
    </w:p>
    <w:p>
      <w:pPr>
        <w:spacing w:line="480" w:lineRule="auto"/>
      </w:pPr>
      <w:r>
        <w:rPr>
          <w:rFonts w:hint="eastAsia"/>
          <w:sz w:val="24"/>
          <w:szCs w:val="24"/>
        </w:rPr>
        <w:t>（二）物业服务公司的权限</w:t>
      </w:r>
      <w:r>
        <w:rPr>
          <w:rFonts w:hint="eastAsia"/>
        </w:rPr>
        <w:t xml:space="preserve"> </w:t>
      </w:r>
    </w:p>
    <w:p>
      <w:pPr>
        <w:spacing w:line="480" w:lineRule="auto"/>
        <w:rPr>
          <w:sz w:val="24"/>
          <w:szCs w:val="24"/>
        </w:rPr>
      </w:pPr>
      <w:r>
        <w:rPr>
          <w:sz w:val="24"/>
          <w:szCs w:val="24"/>
        </w:rPr>
        <w:t>1</w:t>
      </w:r>
      <w:r>
        <w:rPr>
          <w:rFonts w:hint="eastAsia"/>
          <w:sz w:val="24"/>
          <w:szCs w:val="24"/>
        </w:rPr>
        <w:t>、委派下属云浮市云城区臻汇园碧湖新城住宅小区（A区）物业服务中心，全权负责小区的公共服务管理运作，对违反《云浮市云城区臻汇园碧湖新城住宅小区（A区）小区管理规约》及《广东省物业管理条例》的行为，有权劝告、劝阻、纠正、制止及按照相关规定处理，以保障小区全体业主</w:t>
      </w:r>
      <w:r>
        <w:rPr>
          <w:sz w:val="24"/>
          <w:szCs w:val="24"/>
        </w:rPr>
        <w:t>/</w:t>
      </w:r>
      <w:r>
        <w:rPr>
          <w:rFonts w:hint="eastAsia"/>
          <w:sz w:val="24"/>
          <w:szCs w:val="24"/>
        </w:rPr>
        <w:t xml:space="preserve">住户的利益。 </w:t>
      </w:r>
    </w:p>
    <w:p>
      <w:pPr>
        <w:spacing w:line="480" w:lineRule="auto"/>
        <w:rPr>
          <w:sz w:val="24"/>
          <w:szCs w:val="24"/>
        </w:rPr>
      </w:pPr>
      <w:r>
        <w:rPr>
          <w:sz w:val="24"/>
          <w:szCs w:val="24"/>
        </w:rPr>
        <w:t>2</w:t>
      </w:r>
      <w:r>
        <w:rPr>
          <w:rFonts w:hint="eastAsia"/>
          <w:sz w:val="24"/>
          <w:szCs w:val="24"/>
        </w:rPr>
        <w:t>、物业服务公司有权按照法规收取物业管理服务费及其它合法分摊费用，对违反规定拖欠费用的业主</w:t>
      </w:r>
      <w:r>
        <w:rPr>
          <w:sz w:val="24"/>
          <w:szCs w:val="24"/>
        </w:rPr>
        <w:t>/</w:t>
      </w:r>
      <w:r>
        <w:rPr>
          <w:rFonts w:hint="eastAsia"/>
          <w:sz w:val="24"/>
          <w:szCs w:val="24"/>
        </w:rPr>
        <w:t xml:space="preserve">住户有权根据相关国家法律法规、《云浮市云城区臻汇园碧湖新城住宅小区（A区）小区管理规约 》及《物业管理服务合同》规定处理。 </w:t>
      </w:r>
    </w:p>
    <w:p>
      <w:pPr>
        <w:spacing w:line="480" w:lineRule="auto"/>
        <w:rPr>
          <w:sz w:val="24"/>
          <w:szCs w:val="24"/>
        </w:rPr>
      </w:pPr>
      <w:r>
        <w:rPr>
          <w:sz w:val="24"/>
          <w:szCs w:val="24"/>
        </w:rPr>
        <w:t>3</w:t>
      </w:r>
      <w:r>
        <w:rPr>
          <w:rFonts w:hint="eastAsia"/>
          <w:sz w:val="24"/>
          <w:szCs w:val="24"/>
        </w:rPr>
        <w:t xml:space="preserve">、对于小区范围内发生的违反国家法律的行为，物业公司积极配合公安机关执行维护治安的任务； </w:t>
      </w:r>
    </w:p>
    <w:p>
      <w:pPr>
        <w:spacing w:line="480" w:lineRule="auto"/>
        <w:rPr>
          <w:sz w:val="24"/>
          <w:szCs w:val="24"/>
        </w:rPr>
      </w:pPr>
      <w:r>
        <w:rPr>
          <w:sz w:val="24"/>
          <w:szCs w:val="24"/>
        </w:rPr>
        <w:t>4</w:t>
      </w:r>
      <w:r>
        <w:rPr>
          <w:rFonts w:hint="eastAsia"/>
          <w:sz w:val="24"/>
          <w:szCs w:val="24"/>
        </w:rPr>
        <w:t>、物业服务公司有权拒绝业主</w:t>
      </w:r>
      <w:r>
        <w:rPr>
          <w:sz w:val="24"/>
          <w:szCs w:val="24"/>
        </w:rPr>
        <w:t>/</w:t>
      </w:r>
      <w:r>
        <w:rPr>
          <w:rFonts w:hint="eastAsia"/>
          <w:sz w:val="24"/>
          <w:szCs w:val="24"/>
        </w:rPr>
        <w:t>住户提出的与小区物业管理服务无关的私人服务要求，但可通过有偿服务的途径协商解决。</w:t>
      </w:r>
    </w:p>
    <w:p>
      <w:pPr>
        <w:spacing w:line="480" w:lineRule="auto"/>
        <w:rPr>
          <w:sz w:val="24"/>
          <w:szCs w:val="24"/>
        </w:rPr>
      </w:pPr>
      <w:r>
        <w:rPr>
          <w:sz w:val="24"/>
          <w:szCs w:val="24"/>
        </w:rPr>
        <w:t>5</w:t>
      </w:r>
      <w:r>
        <w:rPr>
          <w:rFonts w:hint="eastAsia"/>
          <w:sz w:val="24"/>
          <w:szCs w:val="24"/>
        </w:rPr>
        <w:t>、对于物业服务公司员工过失造成业主</w:t>
      </w:r>
      <w:r>
        <w:rPr>
          <w:sz w:val="24"/>
          <w:szCs w:val="24"/>
        </w:rPr>
        <w:t>/</w:t>
      </w:r>
      <w:r>
        <w:rPr>
          <w:rFonts w:hint="eastAsia"/>
          <w:sz w:val="24"/>
          <w:szCs w:val="24"/>
        </w:rPr>
        <w:t>住户不便或损失，物业公司需负相应责任，应由物业服务公司对其员工进行处理，而业主</w:t>
      </w:r>
      <w:r>
        <w:rPr>
          <w:sz w:val="24"/>
          <w:szCs w:val="24"/>
        </w:rPr>
        <w:t>/</w:t>
      </w:r>
      <w:r>
        <w:rPr>
          <w:rFonts w:hint="eastAsia"/>
          <w:sz w:val="24"/>
          <w:szCs w:val="24"/>
        </w:rPr>
        <w:t xml:space="preserve">住户无权擅自处罚物业服务公司员工，但可向物业服务中心对其进行投诉。 </w:t>
      </w:r>
    </w:p>
    <w:p>
      <w:pPr>
        <w:spacing w:line="480" w:lineRule="auto"/>
        <w:rPr>
          <w:sz w:val="24"/>
          <w:szCs w:val="24"/>
        </w:rPr>
      </w:pPr>
      <w:r>
        <w:rPr>
          <w:sz w:val="24"/>
          <w:szCs w:val="24"/>
        </w:rPr>
        <w:t>6</w:t>
      </w:r>
      <w:r>
        <w:rPr>
          <w:rFonts w:hint="eastAsia"/>
          <w:sz w:val="24"/>
          <w:szCs w:val="24"/>
        </w:rPr>
        <w:t>、物业服务公司对业主</w:t>
      </w:r>
      <w:r>
        <w:rPr>
          <w:sz w:val="24"/>
          <w:szCs w:val="24"/>
        </w:rPr>
        <w:t>/</w:t>
      </w:r>
      <w:r>
        <w:rPr>
          <w:rFonts w:hint="eastAsia"/>
          <w:sz w:val="24"/>
          <w:szCs w:val="24"/>
        </w:rPr>
        <w:t xml:space="preserve">住户提出的疑问及投诉作出解答。 </w:t>
      </w:r>
    </w:p>
    <w:p>
      <w:pPr>
        <w:spacing w:line="480" w:lineRule="auto"/>
      </w:pPr>
      <w:r>
        <w:rPr>
          <w:sz w:val="24"/>
          <w:szCs w:val="24"/>
        </w:rPr>
        <w:t>7</w:t>
      </w:r>
      <w:r>
        <w:rPr>
          <w:rFonts w:hint="eastAsia"/>
          <w:sz w:val="24"/>
          <w:szCs w:val="24"/>
        </w:rPr>
        <w:t xml:space="preserve">、物业服务公司无权根据国家法规对本守则内容进行修订。 </w:t>
      </w:r>
    </w:p>
    <w:p>
      <w:pPr>
        <w:spacing w:line="480" w:lineRule="auto"/>
        <w:rPr>
          <w:rFonts w:ascii="宋体"/>
          <w:sz w:val="24"/>
          <w:szCs w:val="24"/>
        </w:rPr>
      </w:pPr>
      <w:r>
        <w:rPr>
          <w:rFonts w:hint="eastAsia" w:ascii="宋体"/>
          <w:sz w:val="24"/>
          <w:szCs w:val="24"/>
        </w:rPr>
        <w:t>（三）物业管理服务费用</w:t>
      </w:r>
    </w:p>
    <w:p>
      <w:pPr>
        <w:spacing w:line="480" w:lineRule="auto"/>
        <w:ind w:firstLine="480" w:firstLineChars="200"/>
      </w:pPr>
      <w:r>
        <w:rPr>
          <w:rFonts w:hint="eastAsia"/>
          <w:sz w:val="24"/>
          <w:szCs w:val="24"/>
        </w:rPr>
        <w:t>各业主需按国家法规与《物业服务合同》、《云浮市云城区臻汇园碧湖新城住宅小区（A区）小区管理规约》的约定，按时缴付物业管理服务费，</w:t>
      </w:r>
      <w:r>
        <w:rPr>
          <w:rFonts w:hint="eastAsia" w:ascii="宋体" w:hAnsi="宋体" w:cs="宋体"/>
          <w:sz w:val="24"/>
          <w:szCs w:val="32"/>
        </w:rPr>
        <w:t>共用设施设备的属于小修、中修、大修、更新及改造，单次单项维修费不少于人民币2000</w:t>
      </w:r>
      <w:r>
        <w:rPr>
          <w:rFonts w:ascii="宋体" w:hAnsi="宋体" w:cs="宋体"/>
          <w:sz w:val="24"/>
          <w:szCs w:val="32"/>
        </w:rPr>
        <w:t xml:space="preserve"> </w:t>
      </w:r>
      <w:r>
        <w:rPr>
          <w:rFonts w:hint="eastAsia" w:ascii="宋体" w:hAnsi="宋体" w:cs="宋体"/>
          <w:sz w:val="24"/>
          <w:szCs w:val="32"/>
        </w:rPr>
        <w:t>元（含2000元）以下由物业公司承担。超过以上费用由单位所有人共同承担。</w:t>
      </w:r>
    </w:p>
    <w:p>
      <w:pPr>
        <w:spacing w:line="480" w:lineRule="auto"/>
        <w:rPr>
          <w:sz w:val="24"/>
          <w:szCs w:val="24"/>
        </w:rPr>
      </w:pPr>
      <w:r>
        <w:rPr>
          <w:rFonts w:hint="eastAsia"/>
          <w:sz w:val="24"/>
          <w:szCs w:val="24"/>
        </w:rPr>
        <w:t>（四）项目的接管验收</w:t>
      </w:r>
    </w:p>
    <w:p>
      <w:pPr>
        <w:spacing w:line="480" w:lineRule="auto"/>
        <w:rPr>
          <w:sz w:val="24"/>
          <w:szCs w:val="24"/>
        </w:rPr>
      </w:pPr>
      <w:r>
        <w:rPr>
          <w:rFonts w:hint="eastAsia"/>
          <w:sz w:val="24"/>
          <w:szCs w:val="24"/>
        </w:rPr>
        <w:t xml:space="preserve">1、物业的接管验收是对物业现状的摸底与责任进行界定的分界线，有利于物业的管理维护。 </w:t>
      </w:r>
    </w:p>
    <w:p>
      <w:pPr>
        <w:spacing w:line="480" w:lineRule="auto"/>
        <w:rPr>
          <w:sz w:val="24"/>
          <w:szCs w:val="24"/>
        </w:rPr>
      </w:pPr>
      <w:r>
        <w:rPr>
          <w:rFonts w:hint="eastAsia"/>
          <w:sz w:val="24"/>
          <w:szCs w:val="24"/>
        </w:rPr>
        <w:t xml:space="preserve">2、物业服务公司依据国家住建部颁布的《房屋接管验收标准》对物业进行以主体结构安全和设施设备现状进行登记为主要内容的检验。 </w:t>
      </w:r>
    </w:p>
    <w:p>
      <w:pPr>
        <w:spacing w:line="480" w:lineRule="auto"/>
        <w:rPr>
          <w:sz w:val="24"/>
          <w:szCs w:val="24"/>
        </w:rPr>
      </w:pPr>
      <w:r>
        <w:rPr>
          <w:rFonts w:hint="eastAsia"/>
          <w:sz w:val="24"/>
          <w:szCs w:val="24"/>
        </w:rPr>
        <w:t xml:space="preserve">3、物业的接管验收包括主体建筑、附属设备、配套设施，而且还包括道路、场地和环境绿化等，对相关设施设备与场地应拍照存档。 </w:t>
      </w:r>
    </w:p>
    <w:p>
      <w:pPr>
        <w:spacing w:line="480" w:lineRule="auto"/>
        <w:rPr>
          <w:sz w:val="24"/>
          <w:szCs w:val="24"/>
        </w:rPr>
      </w:pPr>
      <w:r>
        <w:rPr>
          <w:rFonts w:hint="eastAsia"/>
          <w:sz w:val="24"/>
          <w:szCs w:val="24"/>
        </w:rPr>
        <w:t xml:space="preserve">a．物业服务公司选派素质好、业务精，对工作认真负责的人员参加现场验收工作； </w:t>
      </w:r>
    </w:p>
    <w:p>
      <w:pPr>
        <w:spacing w:line="480" w:lineRule="auto"/>
        <w:rPr>
          <w:sz w:val="24"/>
          <w:szCs w:val="24"/>
        </w:rPr>
      </w:pPr>
      <w:r>
        <w:rPr>
          <w:rFonts w:hint="eastAsia"/>
          <w:sz w:val="24"/>
          <w:szCs w:val="24"/>
        </w:rPr>
        <w:t xml:space="preserve">b．合同签订后物业维护保养管理的角度做好，也应站在业主的立场上，对物业进行严格的验收，以维护双方的合法权益。 </w:t>
      </w:r>
    </w:p>
    <w:p>
      <w:pPr>
        <w:spacing w:line="480" w:lineRule="auto"/>
        <w:rPr>
          <w:sz w:val="24"/>
          <w:szCs w:val="24"/>
        </w:rPr>
      </w:pPr>
      <w:r>
        <w:rPr>
          <w:rFonts w:hint="eastAsia"/>
          <w:sz w:val="24"/>
          <w:szCs w:val="24"/>
        </w:rPr>
        <w:t xml:space="preserve">c．接管验收中若发现问题，中标人要明确记录在案，约定期限对存在的问题加以解决。 </w:t>
      </w:r>
    </w:p>
    <w:p>
      <w:pPr>
        <w:spacing w:line="480" w:lineRule="auto"/>
        <w:rPr>
          <w:sz w:val="24"/>
          <w:szCs w:val="24"/>
        </w:rPr>
      </w:pPr>
      <w:r>
        <w:rPr>
          <w:rFonts w:hint="eastAsia"/>
          <w:sz w:val="24"/>
          <w:szCs w:val="24"/>
        </w:rPr>
        <w:t xml:space="preserve">d．落实物业的保修事宜。根据建筑工程质量保修的有关规定，超出保修期的，与采购人协商后根据协商内容进行整改维保。 </w:t>
      </w:r>
    </w:p>
    <w:p>
      <w:pPr>
        <w:spacing w:line="480" w:lineRule="auto"/>
        <w:rPr>
          <w:sz w:val="24"/>
          <w:szCs w:val="24"/>
        </w:rPr>
      </w:pPr>
      <w:r>
        <w:rPr>
          <w:rFonts w:hint="eastAsia"/>
          <w:sz w:val="24"/>
          <w:szCs w:val="24"/>
        </w:rPr>
        <w:t xml:space="preserve">4）接管验收的作用 </w:t>
      </w:r>
    </w:p>
    <w:p>
      <w:pPr>
        <w:spacing w:line="480" w:lineRule="auto"/>
        <w:rPr>
          <w:sz w:val="24"/>
          <w:szCs w:val="24"/>
        </w:rPr>
      </w:pPr>
      <w:r>
        <w:rPr>
          <w:rFonts w:hint="eastAsia"/>
          <w:sz w:val="24"/>
          <w:szCs w:val="24"/>
        </w:rPr>
        <w:t>a．明确交接双方的责、权、利关系。</w:t>
      </w:r>
    </w:p>
    <w:p>
      <w:pPr>
        <w:spacing w:line="480" w:lineRule="auto"/>
        <w:rPr>
          <w:sz w:val="24"/>
          <w:szCs w:val="24"/>
        </w:rPr>
      </w:pPr>
      <w:r>
        <w:rPr>
          <w:rFonts w:hint="eastAsia"/>
          <w:sz w:val="24"/>
          <w:szCs w:val="24"/>
        </w:rPr>
        <w:t xml:space="preserve">b．确保物业具备正常的使用功能，充分维护物业的完整性、使用性、安全性。 </w:t>
      </w:r>
    </w:p>
    <w:p>
      <w:pPr>
        <w:spacing w:line="480" w:lineRule="auto"/>
        <w:rPr>
          <w:sz w:val="24"/>
          <w:szCs w:val="24"/>
        </w:rPr>
      </w:pPr>
      <w:r>
        <w:rPr>
          <w:rFonts w:hint="eastAsia"/>
          <w:sz w:val="24"/>
          <w:szCs w:val="24"/>
        </w:rPr>
        <w:t>c．为日后的物业服务创造条件：通过物业的接管验收，一方面根据接管有关物业的文件资料，可以摸清掌握物业的性能与特点，预防管理中可能出现的问题；另一方面有利于计划安排好现场各项管理，为以后的物业管理服务创造有利条件。</w:t>
      </w:r>
    </w:p>
    <w:p>
      <w:pPr>
        <w:numPr>
          <w:ilvl w:val="0"/>
          <w:numId w:val="16"/>
        </w:numPr>
        <w:spacing w:line="480" w:lineRule="auto"/>
        <w:rPr>
          <w:szCs w:val="21"/>
        </w:rPr>
      </w:pPr>
      <w:r>
        <w:rPr>
          <w:rFonts w:hint="eastAsia"/>
          <w:sz w:val="24"/>
          <w:szCs w:val="24"/>
        </w:rPr>
        <w:t>中标物业服务公司必须依照由业主大会表决通过的《云浮市云城区臻汇园碧湖新城住宅小区（A区）小区管理规约》对小区进行服务管理。</w:t>
      </w:r>
    </w:p>
    <w:p>
      <w:pPr>
        <w:spacing w:line="480" w:lineRule="exact"/>
        <w:rPr>
          <w:sz w:val="28"/>
          <w:szCs w:val="28"/>
        </w:rPr>
      </w:pPr>
      <w:r>
        <w:rPr>
          <w:rFonts w:hint="eastAsia"/>
          <w:b/>
          <w:bCs/>
          <w:sz w:val="28"/>
          <w:szCs w:val="28"/>
        </w:rPr>
        <w:t>三、项目要求</w:t>
      </w:r>
    </w:p>
    <w:p>
      <w:pPr>
        <w:spacing w:line="480" w:lineRule="exact"/>
        <w:rPr>
          <w:sz w:val="24"/>
          <w:szCs w:val="24"/>
        </w:rPr>
      </w:pPr>
      <w:r>
        <w:rPr>
          <w:rFonts w:hint="eastAsia"/>
          <w:sz w:val="24"/>
          <w:szCs w:val="24"/>
        </w:rPr>
        <w:t xml:space="preserve">1、物业管理用房 </w:t>
      </w:r>
    </w:p>
    <w:p>
      <w:pPr>
        <w:spacing w:line="480" w:lineRule="exact"/>
        <w:rPr>
          <w:sz w:val="24"/>
          <w:szCs w:val="24"/>
        </w:rPr>
      </w:pPr>
      <w:r>
        <w:rPr>
          <w:rFonts w:hint="eastAsia"/>
          <w:sz w:val="24"/>
          <w:szCs w:val="24"/>
        </w:rPr>
        <w:t xml:space="preserve">    为创造一个良好的居住和生活环境，依据云浮市物业管理条例的规定，以及结合项目的特点，除各类设施设备机房外，物业管理用房还包括： </w:t>
      </w:r>
    </w:p>
    <w:p>
      <w:pPr>
        <w:spacing w:line="480" w:lineRule="exact"/>
        <w:rPr>
          <w:sz w:val="24"/>
          <w:szCs w:val="24"/>
        </w:rPr>
      </w:pPr>
      <w:r>
        <w:rPr>
          <w:sz w:val="24"/>
          <w:szCs w:val="24"/>
        </w:rPr>
        <w:t xml:space="preserve">  </w:t>
      </w:r>
      <w:r>
        <w:rPr>
          <w:rFonts w:hint="eastAsia"/>
          <w:sz w:val="24"/>
          <w:szCs w:val="24"/>
        </w:rPr>
        <w:t>管理服务用房：物业服务中心业户接待、办公、资料档案用房、用房和仓库；保安、保洁、工程维修、摆放工具设备 、维修材料、清 洁物料和更衣等的管理。</w:t>
      </w:r>
    </w:p>
    <w:p>
      <w:pPr>
        <w:spacing w:before="200" w:line="240" w:lineRule="exact"/>
        <w:ind w:left="80" w:firstLine="480" w:firstLineChars="200"/>
        <w:rPr>
          <w:sz w:val="24"/>
          <w:szCs w:val="24"/>
        </w:rPr>
      </w:pPr>
      <w:r>
        <w:rPr>
          <w:rFonts w:hint="eastAsia" w:ascii="宋体"/>
          <w:sz w:val="24"/>
          <w:szCs w:val="24"/>
        </w:rPr>
        <w:t>物业管理用房的配置要求</w:t>
      </w:r>
    </w:p>
    <w:p>
      <w:pPr>
        <w:spacing w:line="480" w:lineRule="exact"/>
        <w:ind w:firstLine="480" w:firstLineChars="200"/>
        <w:rPr>
          <w:sz w:val="24"/>
          <w:szCs w:val="24"/>
        </w:rPr>
      </w:pPr>
      <w:r>
        <w:rPr>
          <w:rFonts w:hint="eastAsia"/>
          <w:sz w:val="24"/>
          <w:szCs w:val="24"/>
        </w:rPr>
        <w:t>客户接待、 工程物资、保洁绿化、保安监 控室、物料库存用房，接管后将根据云浮市云城区臻汇园碧湖新城住宅小区（A区）开发商已建成物业配置的管理用房根据实际需要作调整。</w:t>
      </w:r>
    </w:p>
    <w:p>
      <w:pPr>
        <w:spacing w:line="480" w:lineRule="exact"/>
        <w:ind w:firstLine="480" w:firstLineChars="200"/>
        <w:rPr>
          <w:sz w:val="24"/>
          <w:szCs w:val="24"/>
        </w:rPr>
      </w:pPr>
      <w:r>
        <w:rPr>
          <w:rFonts w:hint="eastAsia"/>
          <w:sz w:val="24"/>
          <w:szCs w:val="24"/>
        </w:rPr>
        <w:t>接管后，根据现场实际工作需要以及小区服务中心实际情况进行办公、工程、清洁 、绿化的工具物资配备 或更换，以满足服务工作的实际需要。</w:t>
      </w:r>
    </w:p>
    <w:p>
      <w:pPr>
        <w:spacing w:line="480" w:lineRule="exact"/>
        <w:rPr>
          <w:sz w:val="24"/>
          <w:szCs w:val="24"/>
        </w:rPr>
      </w:pPr>
      <w:r>
        <w:rPr>
          <w:rFonts w:hint="eastAsia"/>
          <w:sz w:val="24"/>
          <w:szCs w:val="24"/>
        </w:rPr>
        <w:t xml:space="preserve">2、接管后 </w:t>
      </w:r>
    </w:p>
    <w:p>
      <w:pPr>
        <w:spacing w:line="480" w:lineRule="exact"/>
        <w:ind w:firstLine="480" w:firstLineChars="200"/>
        <w:rPr>
          <w:sz w:val="24"/>
          <w:szCs w:val="24"/>
        </w:rPr>
      </w:pPr>
      <w:bookmarkStart w:id="8" w:name="OLE_LINK2"/>
      <w:bookmarkStart w:id="9" w:name="OLE_LINK3"/>
      <w:r>
        <w:rPr>
          <w:rFonts w:hint="eastAsia"/>
          <w:sz w:val="24"/>
          <w:szCs w:val="24"/>
        </w:rPr>
        <w:t>进入全面管理阶段后，物业服务公司请以国家二级物业管理服务标准为指导，</w:t>
      </w:r>
      <w:bookmarkEnd w:id="8"/>
      <w:bookmarkEnd w:id="9"/>
      <w:r>
        <w:rPr>
          <w:rFonts w:hint="eastAsia"/>
          <w:sz w:val="24"/>
          <w:szCs w:val="24"/>
        </w:rPr>
        <w:t xml:space="preserve">主要开展以下工作（但不限于）： </w:t>
      </w:r>
    </w:p>
    <w:p>
      <w:pPr>
        <w:spacing w:line="480" w:lineRule="exact"/>
        <w:rPr>
          <w:sz w:val="24"/>
          <w:szCs w:val="24"/>
        </w:rPr>
      </w:pPr>
      <w:r>
        <w:rPr>
          <w:sz w:val="24"/>
          <w:szCs w:val="24"/>
        </w:rPr>
        <w:t xml:space="preserve">    </w:t>
      </w:r>
      <w:r>
        <w:rPr>
          <w:rFonts w:hint="eastAsia"/>
          <w:sz w:val="24"/>
          <w:szCs w:val="24"/>
        </w:rPr>
        <w:t xml:space="preserve">房屋管理：建筑物以及其附属物的保养、维修； </w:t>
      </w:r>
    </w:p>
    <w:p>
      <w:pPr>
        <w:spacing w:line="480" w:lineRule="exact"/>
        <w:rPr>
          <w:sz w:val="24"/>
          <w:szCs w:val="24"/>
        </w:rPr>
      </w:pPr>
      <w:r>
        <w:rPr>
          <w:sz w:val="24"/>
          <w:szCs w:val="24"/>
        </w:rPr>
        <w:t xml:space="preserve">    </w:t>
      </w:r>
      <w:r>
        <w:rPr>
          <w:rFonts w:hint="eastAsia"/>
          <w:sz w:val="24"/>
          <w:szCs w:val="24"/>
        </w:rPr>
        <w:t xml:space="preserve">设备设施管理；对物业范围内的共用设备设施日常的运行、保养、维修； </w:t>
      </w:r>
    </w:p>
    <w:p>
      <w:pPr>
        <w:spacing w:line="480" w:lineRule="exact"/>
        <w:rPr>
          <w:sz w:val="24"/>
          <w:szCs w:val="24"/>
        </w:rPr>
      </w:pPr>
      <w:r>
        <w:rPr>
          <w:sz w:val="24"/>
          <w:szCs w:val="24"/>
        </w:rPr>
        <w:t xml:space="preserve">    </w:t>
      </w:r>
      <w:r>
        <w:rPr>
          <w:rFonts w:hint="eastAsia"/>
          <w:sz w:val="24"/>
          <w:szCs w:val="24"/>
        </w:rPr>
        <w:t xml:space="preserve">清洁管理：强化保洁员工的现场清洁技能培训，维护物业范围内的清洁卫生； </w:t>
      </w:r>
    </w:p>
    <w:p>
      <w:pPr>
        <w:spacing w:line="480" w:lineRule="exact"/>
        <w:rPr>
          <w:sz w:val="24"/>
          <w:szCs w:val="24"/>
        </w:rPr>
      </w:pPr>
      <w:r>
        <w:rPr>
          <w:sz w:val="24"/>
          <w:szCs w:val="24"/>
        </w:rPr>
        <w:t xml:space="preserve">    </w:t>
      </w:r>
      <w:r>
        <w:rPr>
          <w:rFonts w:hint="eastAsia"/>
          <w:sz w:val="24"/>
          <w:szCs w:val="24"/>
        </w:rPr>
        <w:t xml:space="preserve">绿化管理：物业范围内的绿化修剪和养护； </w:t>
      </w:r>
    </w:p>
    <w:p>
      <w:pPr>
        <w:spacing w:line="480" w:lineRule="exact"/>
        <w:rPr>
          <w:sz w:val="24"/>
          <w:szCs w:val="24"/>
        </w:rPr>
      </w:pPr>
      <w:r>
        <w:rPr>
          <w:sz w:val="24"/>
          <w:szCs w:val="24"/>
        </w:rPr>
        <w:t xml:space="preserve">    </w:t>
      </w:r>
      <w:r>
        <w:rPr>
          <w:rFonts w:hint="eastAsia"/>
          <w:sz w:val="24"/>
          <w:szCs w:val="24"/>
        </w:rPr>
        <w:t xml:space="preserve">消防管理：建立义务消防队伍，对物业范围内消防器材、消防设施等管理； </w:t>
      </w:r>
    </w:p>
    <w:p>
      <w:pPr>
        <w:spacing w:line="480" w:lineRule="exact"/>
        <w:rPr>
          <w:sz w:val="24"/>
          <w:szCs w:val="24"/>
        </w:rPr>
      </w:pPr>
      <w:r>
        <w:rPr>
          <w:sz w:val="24"/>
          <w:szCs w:val="24"/>
        </w:rPr>
        <w:t xml:space="preserve">    </w:t>
      </w:r>
      <w:r>
        <w:rPr>
          <w:rFonts w:hint="eastAsia"/>
          <w:sz w:val="24"/>
          <w:szCs w:val="24"/>
        </w:rPr>
        <w:t xml:space="preserve">安全管理；强化保安队伍的建设管理，确保物业安全无事故； </w:t>
      </w:r>
    </w:p>
    <w:p>
      <w:pPr>
        <w:spacing w:line="480" w:lineRule="exact"/>
        <w:rPr>
          <w:sz w:val="24"/>
          <w:szCs w:val="24"/>
        </w:rPr>
      </w:pPr>
      <w:r>
        <w:rPr>
          <w:rFonts w:hint="eastAsia"/>
          <w:sz w:val="24"/>
          <w:szCs w:val="24"/>
        </w:rPr>
        <w:t xml:space="preserve">    车辆管理：维护行人、车辆的交通秩序，以及车辆停放秩序； </w:t>
      </w:r>
    </w:p>
    <w:p>
      <w:pPr>
        <w:spacing w:line="480" w:lineRule="exact"/>
        <w:rPr>
          <w:sz w:val="24"/>
          <w:szCs w:val="24"/>
        </w:rPr>
      </w:pPr>
      <w:r>
        <w:rPr>
          <w:rFonts w:hint="eastAsia"/>
          <w:sz w:val="24"/>
          <w:szCs w:val="24"/>
        </w:rPr>
        <w:t xml:space="preserve">    资料管理：指对物业登记过程中所产生的各种 图表、登记资料进行完善和修正，保证资料的完整、准确、与实际相符； </w:t>
      </w:r>
    </w:p>
    <w:p>
      <w:pPr>
        <w:spacing w:line="480" w:lineRule="exact"/>
        <w:rPr>
          <w:rFonts w:hint="eastAsia"/>
          <w:sz w:val="24"/>
          <w:szCs w:val="24"/>
        </w:rPr>
      </w:pPr>
      <w:r>
        <w:rPr>
          <w:rFonts w:hint="eastAsia"/>
          <w:sz w:val="24"/>
          <w:szCs w:val="24"/>
        </w:rPr>
        <w:t>    中标物业应协助处理因房屋质量引起而导致业主与建设单位之间的纠纷。</w:t>
      </w:r>
    </w:p>
    <w:p>
      <w:pPr>
        <w:widowControl w:val="0"/>
        <w:numPr>
          <w:ilvl w:val="0"/>
          <w:numId w:val="0"/>
        </w:numPr>
        <w:spacing w:line="360" w:lineRule="auto"/>
        <w:rPr>
          <w:rFonts w:hint="eastAsia"/>
          <w:color w:val="FF0000"/>
          <w:sz w:val="24"/>
          <w:szCs w:val="24"/>
          <w:lang w:val="en-US" w:eastAsia="zh-CN"/>
        </w:rPr>
      </w:pPr>
      <w:r>
        <w:rPr>
          <w:rFonts w:hint="eastAsia"/>
          <w:color w:val="FF0000"/>
          <w:sz w:val="24"/>
          <w:szCs w:val="24"/>
          <w:lang w:val="en-US" w:eastAsia="zh-CN"/>
        </w:rPr>
        <w:t>3、履约保证金</w:t>
      </w:r>
    </w:p>
    <w:p>
      <w:pPr>
        <w:widowControl w:val="0"/>
        <w:numPr>
          <w:ilvl w:val="0"/>
          <w:numId w:val="0"/>
        </w:numPr>
        <w:spacing w:line="360" w:lineRule="auto"/>
        <w:rPr>
          <w:rFonts w:ascii="宋体" w:hAnsi="宋体" w:cs="宋体"/>
          <w:color w:val="FF0000"/>
          <w:sz w:val="24"/>
          <w:szCs w:val="24"/>
        </w:rPr>
      </w:pPr>
      <w:r>
        <w:rPr>
          <w:rFonts w:hint="eastAsia" w:ascii="宋体" w:hAnsi="宋体" w:cs="宋体"/>
          <w:b/>
          <w:color w:val="FF0000"/>
          <w:szCs w:val="21"/>
        </w:rPr>
        <w:t>★</w:t>
      </w:r>
      <w:r>
        <w:rPr>
          <w:rFonts w:hint="eastAsia" w:ascii="宋体" w:hAnsi="宋体" w:cs="宋体"/>
          <w:color w:val="FF0000"/>
          <w:sz w:val="24"/>
          <w:szCs w:val="24"/>
          <w:lang w:val="en-US" w:eastAsia="zh-CN"/>
        </w:rPr>
        <w:t>（1）</w:t>
      </w:r>
      <w:r>
        <w:rPr>
          <w:rFonts w:ascii="宋体" w:hAnsi="宋体" w:cs="宋体"/>
          <w:color w:val="FF0000"/>
          <w:sz w:val="24"/>
          <w:szCs w:val="24"/>
        </w:rPr>
        <w:t>合同生效后5天内，</w:t>
      </w:r>
      <w:r>
        <w:rPr>
          <w:rFonts w:hint="eastAsia" w:ascii="宋体" w:hAnsi="宋体" w:cs="宋体"/>
          <w:color w:val="FF0000"/>
          <w:sz w:val="24"/>
          <w:szCs w:val="24"/>
          <w:lang w:val="en-US" w:eastAsia="zh-CN"/>
        </w:rPr>
        <w:t>中标报价人须承诺</w:t>
      </w:r>
      <w:r>
        <w:rPr>
          <w:rFonts w:ascii="宋体" w:hAnsi="宋体" w:cs="宋体"/>
          <w:color w:val="FF0000"/>
          <w:sz w:val="24"/>
          <w:szCs w:val="24"/>
        </w:rPr>
        <w:t>向</w:t>
      </w:r>
      <w:r>
        <w:rPr>
          <w:rFonts w:hint="eastAsia" w:ascii="宋体" w:hAnsi="宋体" w:cs="宋体"/>
          <w:color w:val="FF0000"/>
          <w:sz w:val="24"/>
          <w:szCs w:val="24"/>
          <w:lang w:val="en-US" w:eastAsia="zh-CN"/>
        </w:rPr>
        <w:t>采购人</w:t>
      </w:r>
      <w:r>
        <w:rPr>
          <w:rFonts w:ascii="宋体" w:hAnsi="宋体" w:cs="宋体"/>
          <w:color w:val="FF0000"/>
          <w:sz w:val="24"/>
          <w:szCs w:val="24"/>
        </w:rPr>
        <w:t>账户存入</w:t>
      </w:r>
      <w:r>
        <w:rPr>
          <w:rFonts w:hint="eastAsia" w:ascii="Arial" w:hAnsi="Arial" w:cs="Arial"/>
          <w:color w:val="FF0000"/>
          <w:sz w:val="24"/>
          <w:szCs w:val="24"/>
          <w:lang w:val="en-US" w:eastAsia="zh-CN"/>
        </w:rPr>
        <w:t>履约</w:t>
      </w:r>
      <w:r>
        <w:rPr>
          <w:rFonts w:ascii="Arial" w:hAnsi="Arial" w:cs="Arial"/>
          <w:color w:val="FF0000"/>
          <w:sz w:val="24"/>
          <w:szCs w:val="24"/>
        </w:rPr>
        <w:t>保证金</w:t>
      </w:r>
      <w:r>
        <w:rPr>
          <w:rFonts w:hint="eastAsia" w:ascii="Arial" w:hAnsi="Arial" w:cs="Arial"/>
          <w:color w:val="FF0000"/>
          <w:sz w:val="24"/>
          <w:szCs w:val="24"/>
          <w:lang w:val="en-US" w:eastAsia="zh-CN"/>
        </w:rPr>
        <w:t>人民币</w:t>
      </w:r>
      <w:r>
        <w:rPr>
          <w:rFonts w:hint="eastAsia" w:ascii="宋体" w:hAnsi="宋体" w:cs="宋体"/>
          <w:color w:val="FF0000"/>
          <w:sz w:val="24"/>
          <w:szCs w:val="24"/>
          <w:lang w:val="en-US" w:eastAsia="zh-CN"/>
        </w:rPr>
        <w:t>壹拾</w:t>
      </w:r>
      <w:r>
        <w:rPr>
          <w:rFonts w:ascii="宋体" w:hAnsi="宋体" w:cs="宋体"/>
          <w:color w:val="FF0000"/>
          <w:sz w:val="24"/>
          <w:szCs w:val="24"/>
        </w:rPr>
        <w:t>万元</w:t>
      </w:r>
      <w:r>
        <w:rPr>
          <w:rFonts w:hint="eastAsia" w:ascii="宋体" w:hAnsi="宋体" w:cs="宋体"/>
          <w:color w:val="FF0000"/>
          <w:sz w:val="24"/>
          <w:szCs w:val="24"/>
          <w:lang w:val="en-US" w:eastAsia="zh-CN"/>
        </w:rPr>
        <w:t>整</w:t>
      </w:r>
      <w:r>
        <w:rPr>
          <w:rFonts w:ascii="宋体" w:hAnsi="宋体" w:cs="宋体"/>
          <w:color w:val="FF0000"/>
          <w:sz w:val="24"/>
          <w:szCs w:val="24"/>
        </w:rPr>
        <w:t>（¥10</w:t>
      </w:r>
      <w:r>
        <w:rPr>
          <w:rFonts w:hint="eastAsia" w:ascii="宋体" w:hAnsi="宋体" w:cs="宋体"/>
          <w:color w:val="FF0000"/>
          <w:sz w:val="24"/>
          <w:szCs w:val="24"/>
          <w:lang w:val="en-US" w:eastAsia="zh-CN"/>
        </w:rPr>
        <w:t>0,000.00</w:t>
      </w:r>
      <w:r>
        <w:rPr>
          <w:rFonts w:ascii="宋体" w:hAnsi="宋体" w:cs="宋体"/>
          <w:color w:val="FF0000"/>
          <w:sz w:val="24"/>
          <w:szCs w:val="24"/>
        </w:rPr>
        <w:t xml:space="preserve">元）。 </w:t>
      </w:r>
      <w:r>
        <w:rPr>
          <w:rFonts w:hint="eastAsia"/>
          <w:color w:val="FF0000"/>
          <w:sz w:val="24"/>
          <w:szCs w:val="24"/>
          <w:lang w:val="en-US" w:eastAsia="zh-CN"/>
        </w:rPr>
        <w:t>（提供承诺书）</w:t>
      </w:r>
    </w:p>
    <w:p>
      <w:pPr>
        <w:widowControl w:val="0"/>
        <w:numPr>
          <w:ilvl w:val="0"/>
          <w:numId w:val="0"/>
        </w:numPr>
        <w:spacing w:line="360" w:lineRule="auto"/>
        <w:rPr>
          <w:rFonts w:hint="default" w:eastAsia="宋体"/>
          <w:color w:val="FF0000"/>
          <w:lang w:val="en-US" w:eastAsia="zh-CN"/>
        </w:rPr>
      </w:pPr>
      <w:r>
        <w:rPr>
          <w:rFonts w:hint="eastAsia" w:ascii="宋体" w:hAnsi="宋体" w:cs="宋体"/>
          <w:color w:val="FF0000"/>
          <w:sz w:val="24"/>
          <w:szCs w:val="24"/>
          <w:lang w:val="en-US" w:eastAsia="zh-CN"/>
        </w:rPr>
        <w:t>（2）</w:t>
      </w:r>
      <w:r>
        <w:rPr>
          <w:rFonts w:ascii="宋体" w:hAnsi="宋体" w:cs="宋体"/>
          <w:color w:val="FF0000"/>
          <w:sz w:val="24"/>
          <w:szCs w:val="24"/>
        </w:rPr>
        <w:t>合同期满且</w:t>
      </w:r>
      <w:r>
        <w:rPr>
          <w:rFonts w:hint="eastAsia" w:ascii="宋体" w:hAnsi="宋体" w:cs="宋体"/>
          <w:color w:val="FF0000"/>
          <w:sz w:val="24"/>
          <w:szCs w:val="24"/>
          <w:lang w:val="en-US" w:eastAsia="zh-CN"/>
        </w:rPr>
        <w:t>中标报价人</w:t>
      </w:r>
      <w:r>
        <w:rPr>
          <w:rFonts w:ascii="宋体" w:hAnsi="宋体" w:cs="宋体"/>
          <w:color w:val="FF0000"/>
          <w:sz w:val="24"/>
          <w:szCs w:val="24"/>
        </w:rPr>
        <w:t>正常移交离场后5个工作日内，</w:t>
      </w:r>
      <w:r>
        <w:rPr>
          <w:rFonts w:hint="eastAsia" w:ascii="宋体" w:hAnsi="宋体" w:cs="宋体"/>
          <w:color w:val="FF0000"/>
          <w:sz w:val="24"/>
          <w:szCs w:val="24"/>
          <w:lang w:val="en-US" w:eastAsia="zh-CN"/>
        </w:rPr>
        <w:t>采购人</w:t>
      </w:r>
      <w:r>
        <w:rPr>
          <w:rFonts w:ascii="宋体" w:hAnsi="宋体" w:cs="宋体"/>
          <w:color w:val="FF0000"/>
          <w:sz w:val="24"/>
          <w:szCs w:val="24"/>
        </w:rPr>
        <w:t>向</w:t>
      </w:r>
      <w:r>
        <w:rPr>
          <w:rFonts w:hint="eastAsia" w:ascii="宋体" w:hAnsi="宋体" w:cs="宋体"/>
          <w:color w:val="FF0000"/>
          <w:sz w:val="24"/>
          <w:szCs w:val="24"/>
          <w:lang w:val="en-US" w:eastAsia="zh-CN"/>
        </w:rPr>
        <w:t>中标报价人</w:t>
      </w:r>
      <w:r>
        <w:rPr>
          <w:rFonts w:ascii="宋体" w:hAnsi="宋体" w:cs="宋体"/>
          <w:color w:val="FF0000"/>
          <w:sz w:val="24"/>
          <w:szCs w:val="24"/>
        </w:rPr>
        <w:t>无息返还原额或余额。</w:t>
      </w:r>
    </w:p>
    <w:p>
      <w:pPr>
        <w:spacing w:line="480" w:lineRule="exact"/>
      </w:pPr>
      <w:r>
        <w:rPr>
          <w:rFonts w:hint="eastAsia"/>
          <w:b/>
          <w:bCs/>
          <w:sz w:val="28"/>
          <w:szCs w:val="28"/>
        </w:rPr>
        <w:t>五、服务承诺</w:t>
      </w:r>
      <w:r>
        <w:rPr>
          <w:rFonts w:hint="eastAsia"/>
        </w:rPr>
        <w:t xml:space="preserve"> </w:t>
      </w:r>
    </w:p>
    <w:p>
      <w:pPr>
        <w:spacing w:line="480" w:lineRule="exact"/>
        <w:rPr>
          <w:sz w:val="24"/>
          <w:szCs w:val="24"/>
        </w:rPr>
      </w:pPr>
      <w:r>
        <w:rPr>
          <w:rFonts w:hint="eastAsia"/>
          <w:sz w:val="24"/>
          <w:szCs w:val="24"/>
        </w:rPr>
        <w:t xml:space="preserve">1、 总体指标： </w:t>
      </w:r>
    </w:p>
    <w:p>
      <w:pPr>
        <w:spacing w:line="480" w:lineRule="exact"/>
        <w:rPr>
          <w:sz w:val="24"/>
          <w:szCs w:val="24"/>
        </w:rPr>
      </w:pPr>
      <w:r>
        <w:rPr>
          <w:rFonts w:hint="eastAsia"/>
          <w:sz w:val="24"/>
          <w:szCs w:val="24"/>
        </w:rPr>
        <w:t>1.1 业主和物业使用人对物业服务公司</w:t>
      </w:r>
      <w:r>
        <w:rPr>
          <w:rFonts w:ascii="宋体" w:hAnsi="宋体"/>
          <w:sz w:val="28"/>
        </w:rPr>
        <w:t>的</w:t>
      </w:r>
      <w:r>
        <w:rPr>
          <w:rFonts w:hint="eastAsia"/>
          <w:sz w:val="24"/>
          <w:szCs w:val="24"/>
        </w:rPr>
        <w:t xml:space="preserve">满意度达 90%以上； </w:t>
      </w:r>
    </w:p>
    <w:p>
      <w:pPr>
        <w:spacing w:line="480" w:lineRule="exact"/>
        <w:rPr>
          <w:sz w:val="24"/>
          <w:szCs w:val="24"/>
        </w:rPr>
      </w:pPr>
      <w:r>
        <w:rPr>
          <w:rFonts w:hint="eastAsia"/>
          <w:sz w:val="24"/>
          <w:szCs w:val="24"/>
        </w:rPr>
        <w:t xml:space="preserve">1.2 管理服务期间内不发生重大安全责任事故， </w:t>
      </w:r>
    </w:p>
    <w:p>
      <w:pPr>
        <w:spacing w:line="480" w:lineRule="exact"/>
        <w:rPr>
          <w:sz w:val="24"/>
          <w:szCs w:val="24"/>
        </w:rPr>
      </w:pPr>
      <w:r>
        <w:rPr>
          <w:rFonts w:hint="eastAsia"/>
          <w:sz w:val="24"/>
          <w:szCs w:val="24"/>
        </w:rPr>
        <w:t xml:space="preserve">    管理服务期间内不发生重大火灾责任事故， </w:t>
      </w:r>
    </w:p>
    <w:p>
      <w:pPr>
        <w:spacing w:line="480" w:lineRule="exact"/>
        <w:rPr>
          <w:sz w:val="24"/>
          <w:szCs w:val="24"/>
        </w:rPr>
      </w:pPr>
      <w:r>
        <w:rPr>
          <w:rFonts w:hint="eastAsia"/>
          <w:sz w:val="24"/>
          <w:szCs w:val="24"/>
        </w:rPr>
        <w:t xml:space="preserve">    管理服务期间内不发生重大设备管理责任事故； </w:t>
      </w:r>
    </w:p>
    <w:p>
      <w:pPr>
        <w:spacing w:line="480" w:lineRule="exact"/>
        <w:rPr>
          <w:sz w:val="24"/>
          <w:szCs w:val="24"/>
        </w:rPr>
      </w:pPr>
      <w:r>
        <w:rPr>
          <w:rFonts w:hint="eastAsia"/>
          <w:sz w:val="24"/>
          <w:szCs w:val="24"/>
        </w:rPr>
        <w:t xml:space="preserve">2、 分类指标 </w:t>
      </w:r>
    </w:p>
    <w:p>
      <w:pPr>
        <w:spacing w:line="480" w:lineRule="exact"/>
        <w:rPr>
          <w:sz w:val="24"/>
          <w:szCs w:val="24"/>
        </w:rPr>
      </w:pPr>
      <w:r>
        <w:rPr>
          <w:rFonts w:hint="eastAsia"/>
          <w:sz w:val="24"/>
          <w:szCs w:val="24"/>
        </w:rPr>
        <w:t xml:space="preserve">2.1 物业服务中心设专线 24 小时受理求助、报修、投诉， </w:t>
      </w:r>
    </w:p>
    <w:p>
      <w:pPr>
        <w:spacing w:line="480" w:lineRule="exact"/>
        <w:rPr>
          <w:sz w:val="24"/>
          <w:szCs w:val="24"/>
        </w:rPr>
      </w:pPr>
      <w:r>
        <w:rPr>
          <w:rFonts w:hint="eastAsia"/>
          <w:sz w:val="24"/>
          <w:szCs w:val="24"/>
        </w:rPr>
        <w:t xml:space="preserve">2.2 服务中心业户接待时间：365 天 8:30-19:00； </w:t>
      </w:r>
    </w:p>
    <w:p>
      <w:pPr>
        <w:spacing w:line="480" w:lineRule="exact"/>
        <w:rPr>
          <w:sz w:val="24"/>
          <w:szCs w:val="24"/>
        </w:rPr>
      </w:pPr>
      <w:r>
        <w:rPr>
          <w:rFonts w:hint="eastAsia"/>
          <w:sz w:val="24"/>
          <w:szCs w:val="24"/>
        </w:rPr>
        <w:t xml:space="preserve">2.3 各类服务人员上岗培训率达到 100%； </w:t>
      </w:r>
    </w:p>
    <w:p>
      <w:pPr>
        <w:spacing w:line="480" w:lineRule="exact"/>
        <w:rPr>
          <w:sz w:val="24"/>
          <w:szCs w:val="24"/>
        </w:rPr>
      </w:pPr>
      <w:r>
        <w:rPr>
          <w:rFonts w:hint="eastAsia"/>
          <w:sz w:val="24"/>
          <w:szCs w:val="24"/>
        </w:rPr>
        <w:t xml:space="preserve">2.4 档案归档率达到 100%， </w:t>
      </w:r>
    </w:p>
    <w:p>
      <w:pPr>
        <w:spacing w:line="480" w:lineRule="exact"/>
        <w:rPr>
          <w:sz w:val="24"/>
          <w:szCs w:val="24"/>
        </w:rPr>
      </w:pPr>
      <w:r>
        <w:rPr>
          <w:rFonts w:hint="eastAsia"/>
          <w:sz w:val="24"/>
          <w:szCs w:val="24"/>
        </w:rPr>
        <w:t xml:space="preserve">2.5 档案完整率达到 100%； </w:t>
      </w:r>
    </w:p>
    <w:p>
      <w:pPr>
        <w:spacing w:line="480" w:lineRule="exact"/>
        <w:rPr>
          <w:sz w:val="24"/>
          <w:szCs w:val="24"/>
        </w:rPr>
      </w:pPr>
      <w:r>
        <w:rPr>
          <w:rFonts w:hint="eastAsia"/>
          <w:sz w:val="24"/>
          <w:szCs w:val="24"/>
        </w:rPr>
        <w:t xml:space="preserve">2.6 维修及时率达到 98%； </w:t>
      </w:r>
    </w:p>
    <w:p>
      <w:pPr>
        <w:spacing w:line="480" w:lineRule="exact"/>
        <w:rPr>
          <w:sz w:val="24"/>
          <w:szCs w:val="24"/>
        </w:rPr>
      </w:pPr>
      <w:r>
        <w:rPr>
          <w:rFonts w:hint="eastAsia"/>
          <w:sz w:val="24"/>
          <w:szCs w:val="24"/>
        </w:rPr>
        <w:t xml:space="preserve">2.7 维修质量合格率达到 95%以上； </w:t>
      </w:r>
    </w:p>
    <w:p>
      <w:pPr>
        <w:spacing w:line="480" w:lineRule="exact"/>
        <w:rPr>
          <w:sz w:val="24"/>
          <w:szCs w:val="24"/>
        </w:rPr>
      </w:pPr>
      <w:r>
        <w:rPr>
          <w:rFonts w:hint="eastAsia"/>
          <w:sz w:val="24"/>
          <w:szCs w:val="24"/>
        </w:rPr>
        <w:t xml:space="preserve">2.8 实行维修服务回访制度，回访率达到 100%； </w:t>
      </w:r>
    </w:p>
    <w:p>
      <w:pPr>
        <w:spacing w:line="480" w:lineRule="exact"/>
        <w:rPr>
          <w:sz w:val="24"/>
          <w:szCs w:val="24"/>
        </w:rPr>
      </w:pPr>
      <w:r>
        <w:rPr>
          <w:rFonts w:hint="eastAsia"/>
          <w:sz w:val="24"/>
          <w:szCs w:val="24"/>
        </w:rPr>
        <w:t xml:space="preserve">2.9 有效投诉处理率 100％； </w:t>
      </w:r>
    </w:p>
    <w:p>
      <w:pPr>
        <w:spacing w:line="480" w:lineRule="exact"/>
        <w:rPr>
          <w:sz w:val="24"/>
          <w:szCs w:val="24"/>
        </w:rPr>
      </w:pPr>
      <w:r>
        <w:rPr>
          <w:rFonts w:hint="eastAsia"/>
          <w:sz w:val="24"/>
          <w:szCs w:val="24"/>
        </w:rPr>
        <w:t xml:space="preserve">2.10 公共设备、设施完好率达到 98％以上； </w:t>
      </w:r>
    </w:p>
    <w:p>
      <w:pPr>
        <w:spacing w:line="480" w:lineRule="exact"/>
        <w:rPr>
          <w:sz w:val="24"/>
          <w:szCs w:val="24"/>
        </w:rPr>
      </w:pPr>
      <w:r>
        <w:rPr>
          <w:rFonts w:hint="eastAsia"/>
          <w:sz w:val="24"/>
          <w:szCs w:val="24"/>
        </w:rPr>
        <w:t xml:space="preserve">2.11 房屋建筑完好率达到 98%以上； </w:t>
      </w:r>
    </w:p>
    <w:p>
      <w:pPr>
        <w:spacing w:line="480" w:lineRule="exact"/>
        <w:rPr>
          <w:sz w:val="24"/>
          <w:szCs w:val="24"/>
        </w:rPr>
      </w:pPr>
      <w:r>
        <w:rPr>
          <w:rFonts w:hint="eastAsia"/>
          <w:sz w:val="24"/>
          <w:szCs w:val="24"/>
        </w:rPr>
        <w:t xml:space="preserve">2.12 绿化存活率达到 95%以上； </w:t>
      </w:r>
    </w:p>
    <w:p>
      <w:pPr>
        <w:spacing w:line="480" w:lineRule="exact"/>
        <w:rPr>
          <w:sz w:val="24"/>
          <w:szCs w:val="24"/>
        </w:rPr>
      </w:pPr>
      <w:r>
        <w:rPr>
          <w:rFonts w:hint="eastAsia"/>
          <w:sz w:val="24"/>
          <w:szCs w:val="24"/>
        </w:rPr>
        <w:t xml:space="preserve">2.13 清洁管理无盲点， </w:t>
      </w:r>
    </w:p>
    <w:p>
      <w:pPr>
        <w:spacing w:line="480" w:lineRule="exact"/>
        <w:rPr>
          <w:sz w:val="24"/>
          <w:szCs w:val="24"/>
        </w:rPr>
      </w:pPr>
      <w:r>
        <w:rPr>
          <w:rFonts w:hint="eastAsia"/>
          <w:sz w:val="24"/>
          <w:szCs w:val="24"/>
        </w:rPr>
        <w:t xml:space="preserve">2.14 管理服务范围保持环境整洁，生活垃圾日产日清； </w:t>
      </w:r>
    </w:p>
    <w:p>
      <w:pPr>
        <w:spacing w:line="480" w:lineRule="exact"/>
        <w:rPr>
          <w:sz w:val="24"/>
          <w:szCs w:val="24"/>
        </w:rPr>
      </w:pPr>
      <w:r>
        <w:rPr>
          <w:rFonts w:hint="eastAsia"/>
          <w:sz w:val="24"/>
          <w:szCs w:val="24"/>
        </w:rPr>
        <w:t xml:space="preserve">2.15 道路、停车场完好率达到 98%以上； </w:t>
      </w:r>
    </w:p>
    <w:p>
      <w:pPr>
        <w:spacing w:line="480" w:lineRule="exact"/>
        <w:rPr>
          <w:sz w:val="24"/>
          <w:szCs w:val="24"/>
        </w:rPr>
      </w:pPr>
      <w:r>
        <w:rPr>
          <w:rFonts w:hint="eastAsia"/>
          <w:sz w:val="24"/>
          <w:szCs w:val="24"/>
        </w:rPr>
        <w:t>2.16 管理服务范围内保安固定岗实行 24 小时安全巡查。</w:t>
      </w:r>
    </w:p>
    <w:p>
      <w:pPr>
        <w:pStyle w:val="2"/>
        <w:rPr>
          <w:rFonts w:ascii="宋体" w:hAnsi="宋体"/>
          <w:sz w:val="24"/>
          <w:szCs w:val="24"/>
        </w:rPr>
        <w:sectPr>
          <w:headerReference r:id="rId11" w:type="default"/>
          <w:footerReference r:id="rId12" w:type="default"/>
          <w:pgSz w:w="11907" w:h="16840"/>
          <w:pgMar w:top="1440" w:right="1418" w:bottom="1440" w:left="1418" w:header="851" w:footer="851" w:gutter="0"/>
          <w:pgNumType w:start="1"/>
          <w:cols w:space="720" w:num="1"/>
          <w:docGrid w:linePitch="285" w:charSpace="0"/>
        </w:sectPr>
      </w:pPr>
    </w:p>
    <w:p>
      <w:pPr>
        <w:pStyle w:val="3"/>
        <w:numPr>
          <w:ilvl w:val="0"/>
          <w:numId w:val="0"/>
        </w:numPr>
        <w:spacing w:before="360" w:after="120"/>
      </w:pPr>
    </w:p>
    <w:p>
      <w:pPr>
        <w:spacing w:line="480" w:lineRule="exact"/>
        <w:rPr>
          <w:rFonts w:ascii="宋体" w:hAnsi="宋体"/>
          <w:szCs w:val="21"/>
        </w:rPr>
        <w:sectPr>
          <w:type w:val="continuous"/>
          <w:pgSz w:w="11907" w:h="16840"/>
          <w:pgMar w:top="1440" w:right="1418" w:bottom="1440" w:left="1418" w:header="851" w:footer="851" w:gutter="0"/>
          <w:pgNumType w:start="1"/>
          <w:cols w:space="720" w:num="1"/>
          <w:docGrid w:linePitch="285" w:charSpace="0"/>
        </w:sectPr>
      </w:pPr>
    </w:p>
    <w:p>
      <w:pPr>
        <w:spacing w:line="480" w:lineRule="exact"/>
        <w:rPr>
          <w:rFonts w:ascii="宋体" w:hAnsi="宋体"/>
          <w:szCs w:val="21"/>
        </w:rPr>
        <w:sectPr>
          <w:type w:val="continuous"/>
          <w:pgSz w:w="11907" w:h="16840"/>
          <w:pgMar w:top="1440" w:right="1418" w:bottom="1440" w:left="1418" w:header="851" w:footer="851" w:gutter="0"/>
          <w:pgNumType w:start="1"/>
          <w:cols w:space="720" w:num="1"/>
          <w:docGrid w:linePitch="285" w:charSpace="0"/>
        </w:sectPr>
      </w:pPr>
    </w:p>
    <w:p>
      <w:pPr>
        <w:rPr>
          <w:rFonts w:ascii="黑体" w:eastAsia="黑体"/>
          <w:b/>
          <w:sz w:val="44"/>
        </w:rPr>
      </w:pPr>
      <w:r>
        <w:rPr>
          <w:rFonts w:ascii="黑体" w:eastAsia="黑体"/>
          <w:b/>
          <w:sz w:val="44"/>
        </w:rPr>
        <w:br w:type="page"/>
      </w:r>
    </w:p>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r>
        <w:rPr>
          <w:rFonts w:ascii="黑体" w:eastAsia="黑体"/>
          <w:b/>
          <w:sz w:val="44"/>
        </w:rPr>
        <w:t>第四部分</w:t>
      </w:r>
    </w:p>
    <w:p/>
    <w:p>
      <w:pPr>
        <w:spacing w:line="360" w:lineRule="auto"/>
        <w:jc w:val="center"/>
        <w:rPr>
          <w:rFonts w:ascii="宋体"/>
          <w:sz w:val="24"/>
        </w:rPr>
      </w:pPr>
      <w:r>
        <w:rPr>
          <w:rFonts w:ascii="黑体" w:eastAsia="黑体"/>
          <w:b/>
          <w:sz w:val="44"/>
        </w:rPr>
        <w:t>合 同 条 款</w:t>
      </w: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spacing w:line="480" w:lineRule="auto"/>
        <w:jc w:val="center"/>
        <w:rPr>
          <w:b/>
          <w:bCs/>
          <w:sz w:val="32"/>
          <w:szCs w:val="40"/>
        </w:rPr>
      </w:pPr>
    </w:p>
    <w:p>
      <w:pPr>
        <w:pStyle w:val="2"/>
      </w:pPr>
    </w:p>
    <w:p>
      <w:pPr>
        <w:adjustRightInd w:val="0"/>
        <w:snapToGrid w:val="0"/>
        <w:spacing w:line="360" w:lineRule="auto"/>
        <w:ind w:left="15" w:leftChars="-85" w:right="-336" w:rightChars="-160" w:hanging="193" w:hangingChars="40"/>
        <w:jc w:val="center"/>
        <w:rPr>
          <w:rFonts w:ascii="华文新魏" w:eastAsia="华文新魏" w:cs="宋体"/>
          <w:b/>
          <w:sz w:val="48"/>
          <w:szCs w:val="48"/>
        </w:rPr>
      </w:pPr>
      <w:r>
        <w:rPr>
          <w:rFonts w:ascii="Calibri" w:hAnsi="Calibri" w:eastAsia="华文新魏"/>
          <w:b/>
          <w:sz w:val="48"/>
          <w:szCs w:val="48"/>
        </w:rPr>
        <w:t>云浮市云城区臻汇园碧湖新城住宅小区（A区）物业管理服务项目</w:t>
      </w:r>
    </w:p>
    <w:p>
      <w:pPr>
        <w:adjustRightInd w:val="0"/>
        <w:snapToGrid w:val="0"/>
        <w:spacing w:line="360" w:lineRule="auto"/>
        <w:jc w:val="center"/>
        <w:rPr>
          <w:rFonts w:ascii="华文新魏" w:eastAsia="华文新魏" w:cs="宋体"/>
          <w:sz w:val="36"/>
          <w:szCs w:val="36"/>
        </w:rPr>
      </w:pPr>
    </w:p>
    <w:p>
      <w:pPr>
        <w:adjustRightInd w:val="0"/>
        <w:snapToGrid w:val="0"/>
        <w:spacing w:line="360" w:lineRule="auto"/>
        <w:jc w:val="center"/>
        <w:rPr>
          <w:rFonts w:ascii="华文新魏" w:eastAsia="华文新魏"/>
          <w:b/>
          <w:spacing w:val="200"/>
          <w:sz w:val="44"/>
          <w:szCs w:val="44"/>
        </w:rPr>
      </w:pPr>
      <w:r>
        <w:rPr>
          <w:rFonts w:ascii="华文新魏" w:eastAsia="华文新魏"/>
          <w:b/>
          <w:spacing w:val="200"/>
          <w:sz w:val="44"/>
          <w:szCs w:val="44"/>
        </w:rPr>
        <w:t>合同书格式</w:t>
      </w: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ascii="宋体"/>
          <w:b/>
          <w:sz w:val="28"/>
        </w:rPr>
        <w:t>项目名称：</w:t>
      </w:r>
      <w:r>
        <w:rPr>
          <w:rFonts w:ascii="宋体"/>
          <w:b/>
          <w:sz w:val="28"/>
          <w:u w:val="single"/>
        </w:rPr>
        <w:t xml:space="preserve">                         </w:t>
      </w:r>
    </w:p>
    <w:p>
      <w:pPr>
        <w:adjustRightInd w:val="0"/>
        <w:snapToGrid w:val="0"/>
        <w:spacing w:line="360" w:lineRule="auto"/>
        <w:ind w:left="1680"/>
        <w:rPr>
          <w:rFonts w:ascii="宋体"/>
          <w:b/>
          <w:sz w:val="28"/>
        </w:rPr>
      </w:pPr>
      <w:r>
        <w:rPr>
          <w:rFonts w:ascii="宋体"/>
          <w:b/>
          <w:sz w:val="28"/>
        </w:rPr>
        <w:t>合同编号：</w:t>
      </w:r>
      <w:r>
        <w:rPr>
          <w:rFonts w:ascii="宋体"/>
          <w:b/>
          <w:sz w:val="28"/>
          <w:u w:val="single"/>
        </w:rPr>
        <w:t xml:space="preserve">                         </w:t>
      </w:r>
    </w:p>
    <w:p>
      <w:pPr>
        <w:adjustRightInd w:val="0"/>
        <w:snapToGrid w:val="0"/>
        <w:spacing w:line="360" w:lineRule="auto"/>
        <w:ind w:left="1680"/>
        <w:rPr>
          <w:rFonts w:ascii="宋体"/>
          <w:b/>
          <w:sz w:val="28"/>
        </w:rPr>
      </w:pPr>
      <w:r>
        <w:rPr>
          <w:rFonts w:ascii="宋体"/>
          <w:b/>
          <w:sz w:val="28"/>
        </w:rPr>
        <w:t>签约地点：</w:t>
      </w:r>
      <w:r>
        <w:rPr>
          <w:rFonts w:ascii="宋体"/>
          <w:b/>
          <w:sz w:val="28"/>
          <w:u w:val="single"/>
        </w:rPr>
        <w:t xml:space="preserve">                         </w:t>
      </w:r>
    </w:p>
    <w:p>
      <w:pPr>
        <w:adjustRightInd w:val="0"/>
        <w:snapToGrid w:val="0"/>
        <w:spacing w:line="360" w:lineRule="auto"/>
        <w:ind w:left="1680"/>
        <w:rPr>
          <w:rFonts w:ascii="宋体"/>
          <w:b/>
          <w:sz w:val="28"/>
        </w:rPr>
      </w:pPr>
      <w:r>
        <w:rPr>
          <w:rFonts w:ascii="宋体"/>
          <w:b/>
          <w:sz w:val="28"/>
        </w:rPr>
        <w:t>签订日期：二</w:t>
      </w:r>
      <w:r>
        <w:rPr>
          <w:rFonts w:ascii="宋体"/>
          <w:b/>
          <w:sz w:val="28"/>
          <w:szCs w:val="22"/>
        </w:rPr>
        <w:t>○</w:t>
      </w:r>
      <w:r>
        <w:rPr>
          <w:rFonts w:ascii="宋体"/>
          <w:b/>
          <w:sz w:val="28"/>
        </w:rPr>
        <w:t>一九年   月     日</w:t>
      </w:r>
    </w:p>
    <w:p>
      <w:pPr>
        <w:spacing w:line="480" w:lineRule="auto"/>
        <w:jc w:val="center"/>
        <w:rPr>
          <w:b/>
          <w:bCs/>
          <w:sz w:val="32"/>
          <w:szCs w:val="40"/>
        </w:rPr>
      </w:pPr>
      <w:r>
        <w:rPr>
          <w:rFonts w:ascii="宋体" w:hAnsi="宋体"/>
          <w:sz w:val="30"/>
        </w:rPr>
        <w:br w:type="page"/>
      </w:r>
    </w:p>
    <w:p>
      <w:pPr>
        <w:spacing w:line="600" w:lineRule="exact"/>
        <w:rPr>
          <w:rFonts w:ascii="宋体" w:hAnsi="宋体"/>
          <w:b/>
          <w:sz w:val="32"/>
        </w:rPr>
      </w:pPr>
      <w:r>
        <w:rPr>
          <w:rFonts w:ascii="宋体" w:hAnsi="宋体"/>
          <w:b/>
        </w:rPr>
        <w:t>注：本合同条款仅供参考之用，最终以甲乙双方共同拟定并协商一致的为准。</w:t>
      </w:r>
    </w:p>
    <w:p>
      <w:pPr>
        <w:spacing w:line="480" w:lineRule="exact"/>
        <w:rPr>
          <w:rFonts w:ascii="宋体" w:hAnsi="宋体" w:cs="宋体"/>
          <w:szCs w:val="21"/>
        </w:rPr>
      </w:pPr>
      <w:r>
        <w:rPr>
          <w:rFonts w:ascii="宋体" w:hAnsi="宋体" w:cs="宋体"/>
          <w:szCs w:val="21"/>
        </w:rPr>
        <w:t xml:space="preserve">甲    方：                 </w:t>
      </w:r>
    </w:p>
    <w:p>
      <w:pPr>
        <w:spacing w:line="480" w:lineRule="exact"/>
        <w:rPr>
          <w:rFonts w:ascii="宋体" w:hAnsi="宋体" w:cs="宋体"/>
          <w:szCs w:val="21"/>
        </w:rPr>
      </w:pPr>
      <w:r>
        <w:rPr>
          <w:rFonts w:ascii="宋体" w:hAnsi="宋体" w:cs="宋体"/>
          <w:szCs w:val="21"/>
        </w:rPr>
        <w:t>电    话：           　   传  真：           地  址：</w:t>
      </w:r>
    </w:p>
    <w:p>
      <w:pPr>
        <w:spacing w:line="480" w:lineRule="exact"/>
        <w:rPr>
          <w:rFonts w:ascii="宋体" w:hAnsi="宋体" w:cs="宋体"/>
          <w:szCs w:val="21"/>
        </w:rPr>
      </w:pPr>
      <w:r>
        <w:rPr>
          <w:rFonts w:ascii="宋体" w:hAnsi="宋体" w:cs="宋体"/>
          <w:szCs w:val="21"/>
        </w:rPr>
        <w:t xml:space="preserve">乙    方：                  </w:t>
      </w:r>
      <w:r>
        <w:rPr>
          <w:rFonts w:ascii="宋体" w:hAnsi="宋体" w:cs="宋体"/>
          <w:szCs w:val="21"/>
        </w:rPr>
        <w:br w:type="textWrapping"/>
      </w:r>
      <w:r>
        <w:rPr>
          <w:rFonts w:ascii="宋体" w:hAnsi="宋体" w:cs="宋体"/>
          <w:szCs w:val="21"/>
        </w:rPr>
        <w:t xml:space="preserve">电    话：                传  真：           地  址：   </w:t>
      </w:r>
    </w:p>
    <w:p>
      <w:pPr>
        <w:spacing w:line="480" w:lineRule="exact"/>
        <w:rPr>
          <w:rFonts w:ascii="宋体" w:hAnsi="宋体" w:cs="宋体"/>
          <w:szCs w:val="21"/>
        </w:rPr>
      </w:pPr>
    </w:p>
    <w:p>
      <w:pPr>
        <w:spacing w:line="480" w:lineRule="exact"/>
        <w:rPr>
          <w:rFonts w:ascii="宋体" w:hAnsi="宋体" w:cs="宋体"/>
          <w:szCs w:val="21"/>
        </w:rPr>
      </w:pPr>
      <w:r>
        <w:rPr>
          <w:rFonts w:ascii="宋体" w:hAnsi="宋体" w:cs="宋体"/>
          <w:szCs w:val="21"/>
        </w:rPr>
        <w:t xml:space="preserve">项目名称：     </w:t>
      </w:r>
      <w:r>
        <w:rPr>
          <w:rFonts w:ascii="宋体" w:hAnsi="宋体"/>
          <w:szCs w:val="21"/>
        </w:rPr>
        <w:t>云浮市云城区臻汇园碧湖新城住宅小区（A区）物业管理服务项目</w:t>
      </w:r>
      <w:r>
        <w:rPr>
          <w:rFonts w:ascii="宋体" w:hAnsi="宋体" w:cs="宋体"/>
          <w:szCs w:val="21"/>
        </w:rPr>
        <w:t xml:space="preserve">                           </w:t>
      </w:r>
    </w:p>
    <w:p>
      <w:pPr>
        <w:spacing w:line="480" w:lineRule="exact"/>
        <w:rPr>
          <w:rFonts w:ascii="宋体" w:hAnsi="宋体" w:cs="宋体"/>
          <w:szCs w:val="21"/>
        </w:rPr>
      </w:pPr>
      <w:r>
        <w:rPr>
          <w:rFonts w:ascii="宋体" w:hAnsi="宋体" w:cs="宋体"/>
          <w:szCs w:val="21"/>
        </w:rPr>
        <w:t xml:space="preserve">采购编号：  </w:t>
      </w:r>
    </w:p>
    <w:p>
      <w:pPr>
        <w:spacing w:line="480" w:lineRule="exact"/>
        <w:rPr>
          <w:rFonts w:ascii="宋体" w:hAnsi="宋体" w:cs="宋体"/>
          <w:szCs w:val="21"/>
        </w:rPr>
      </w:pPr>
    </w:p>
    <w:p>
      <w:pPr>
        <w:spacing w:line="360" w:lineRule="auto"/>
        <w:ind w:firstLine="480" w:firstLineChars="200"/>
        <w:rPr>
          <w:sz w:val="24"/>
          <w:szCs w:val="24"/>
        </w:rPr>
      </w:pPr>
      <w:r>
        <w:rPr>
          <w:sz w:val="24"/>
          <w:szCs w:val="24"/>
        </w:rPr>
        <w:t>经臻汇园碧湖新城A区业主大会表决同意，委托乙方对臻汇园碧湖新城A区提供“包干式”物业管理服务。根据《中华人民共和国合同法》《中华人民共和国物业管理条例》《广东省物业管理条例》等有关物业管理法律、法规规定，由甲方代表业主大会与乙方订立本物业管理服务合同。</w:t>
      </w:r>
    </w:p>
    <w:p>
      <w:pPr>
        <w:spacing w:line="360" w:lineRule="auto"/>
        <w:rPr>
          <w:b/>
          <w:sz w:val="24"/>
          <w:szCs w:val="24"/>
        </w:rPr>
      </w:pPr>
      <w:r>
        <w:rPr>
          <w:b/>
          <w:sz w:val="24"/>
          <w:szCs w:val="24"/>
        </w:rPr>
        <w:t xml:space="preserve">    第一条  物业基本情况</w:t>
      </w:r>
    </w:p>
    <w:p>
      <w:pPr>
        <w:spacing w:line="360" w:lineRule="auto"/>
        <w:rPr>
          <w:sz w:val="24"/>
          <w:szCs w:val="24"/>
        </w:rPr>
      </w:pPr>
      <w:r>
        <w:rPr>
          <w:sz w:val="24"/>
          <w:szCs w:val="24"/>
        </w:rPr>
        <w:t xml:space="preserve">    物业项目名称：</w:t>
      </w:r>
      <w:r>
        <w:rPr>
          <w:rFonts w:ascii="宋体" w:hAnsi="宋体"/>
          <w:szCs w:val="21"/>
        </w:rPr>
        <w:t>云浮市云城区臻汇园碧湖新城住宅小区（A区）物业管理服务</w:t>
      </w:r>
      <w:r>
        <w:rPr>
          <w:sz w:val="24"/>
          <w:szCs w:val="24"/>
        </w:rPr>
        <w:t>。</w:t>
      </w:r>
    </w:p>
    <w:p>
      <w:pPr>
        <w:spacing w:line="360" w:lineRule="auto"/>
        <w:rPr>
          <w:sz w:val="24"/>
          <w:szCs w:val="24"/>
        </w:rPr>
      </w:pPr>
      <w:r>
        <w:rPr>
          <w:sz w:val="24"/>
          <w:szCs w:val="24"/>
        </w:rPr>
        <w:t xml:space="preserve">    物业类型：商、住小区。</w:t>
      </w:r>
    </w:p>
    <w:p>
      <w:pPr>
        <w:spacing w:line="360" w:lineRule="auto"/>
        <w:rPr>
          <w:sz w:val="24"/>
          <w:szCs w:val="24"/>
        </w:rPr>
      </w:pPr>
      <w:r>
        <w:rPr>
          <w:sz w:val="24"/>
          <w:szCs w:val="24"/>
        </w:rPr>
        <w:t xml:space="preserve">    座落位置：云浮市</w:t>
      </w:r>
      <w:r>
        <w:rPr>
          <w:rFonts w:hint="eastAsia"/>
          <w:sz w:val="24"/>
          <w:szCs w:val="24"/>
        </w:rPr>
        <w:t>云城区</w:t>
      </w:r>
      <w:r>
        <w:rPr>
          <w:sz w:val="24"/>
          <w:szCs w:val="24"/>
        </w:rPr>
        <w:t>金山大道168号。</w:t>
      </w:r>
    </w:p>
    <w:p>
      <w:pPr>
        <w:spacing w:line="360" w:lineRule="auto"/>
        <w:ind w:firstLine="480" w:firstLineChars="200"/>
        <w:rPr>
          <w:sz w:val="24"/>
          <w:szCs w:val="24"/>
        </w:rPr>
      </w:pPr>
      <w:r>
        <w:rPr>
          <w:sz w:val="24"/>
          <w:szCs w:val="24"/>
        </w:rPr>
        <w:t>物业项目规划范围：东至金山大道；南至浩林西路；西至环市中路；北至玉屏路。</w:t>
      </w:r>
    </w:p>
    <w:p>
      <w:pPr>
        <w:spacing w:line="360" w:lineRule="auto"/>
        <w:ind w:firstLine="420"/>
        <w:rPr>
          <w:sz w:val="24"/>
          <w:szCs w:val="24"/>
        </w:rPr>
      </w:pPr>
      <w:r>
        <w:rPr>
          <w:sz w:val="24"/>
          <w:szCs w:val="24"/>
        </w:rPr>
        <w:t>物业项目总建筑面积 279932万平方米。其中包括：住宅1554套，建筑面积  214761平方米；专有产权车位共1278个，停车场建筑面积45555平方米；商铺 118     卡，建筑面积18438平方米，有喷泉的大型景观湖一个；有住宅楼22幢，电梯45台，目前行人入口3个、车库出入口2个。</w:t>
      </w:r>
    </w:p>
    <w:p>
      <w:pPr>
        <w:spacing w:line="360" w:lineRule="auto"/>
        <w:ind w:firstLine="482" w:firstLineChars="200"/>
        <w:rPr>
          <w:sz w:val="24"/>
          <w:szCs w:val="24"/>
        </w:rPr>
      </w:pPr>
      <w:r>
        <w:rPr>
          <w:b/>
          <w:sz w:val="24"/>
          <w:szCs w:val="24"/>
        </w:rPr>
        <w:t xml:space="preserve"> 第二条  合同期限</w:t>
      </w:r>
    </w:p>
    <w:p>
      <w:pPr>
        <w:spacing w:line="360" w:lineRule="auto"/>
        <w:ind w:firstLine="480" w:firstLineChars="200"/>
        <w:rPr>
          <w:sz w:val="24"/>
          <w:szCs w:val="24"/>
        </w:rPr>
      </w:pPr>
      <w:r>
        <w:rPr>
          <w:sz w:val="24"/>
          <w:szCs w:val="24"/>
        </w:rPr>
        <w:t>合同期限为</w:t>
      </w:r>
      <w:r>
        <w:rPr>
          <w:sz w:val="24"/>
          <w:szCs w:val="24"/>
          <w:u w:val="single"/>
        </w:rPr>
        <w:t xml:space="preserve"> 5 </w:t>
      </w:r>
      <w:r>
        <w:rPr>
          <w:sz w:val="24"/>
          <w:szCs w:val="24"/>
        </w:rPr>
        <w:t xml:space="preserve">年：自   2019    年    月   日起，至    2024   年    月   日止。            </w:t>
      </w:r>
    </w:p>
    <w:p>
      <w:pPr>
        <w:spacing w:line="360" w:lineRule="auto"/>
        <w:ind w:firstLine="480"/>
        <w:rPr>
          <w:b/>
          <w:sz w:val="24"/>
          <w:szCs w:val="24"/>
        </w:rPr>
      </w:pPr>
      <w:r>
        <w:rPr>
          <w:b/>
          <w:sz w:val="24"/>
          <w:szCs w:val="24"/>
        </w:rPr>
        <w:t>第三条  委托管理事项和物业服务内容</w:t>
      </w:r>
    </w:p>
    <w:p>
      <w:pPr>
        <w:spacing w:line="360" w:lineRule="auto"/>
        <w:ind w:firstLine="480" w:firstLineChars="200"/>
        <w:rPr>
          <w:sz w:val="24"/>
          <w:szCs w:val="24"/>
        </w:rPr>
      </w:pPr>
      <w:r>
        <w:rPr>
          <w:sz w:val="24"/>
          <w:szCs w:val="24"/>
        </w:rPr>
        <w:t>（一）甲方委托乙方对第一条约定范围内的共用部位和共用设施设备进行日常运行、维护管理并对第一项约定的部位和设备负责（除地震、冰雹等不可抗力外，其他原因的损害均由乙方负责）。。</w:t>
      </w:r>
    </w:p>
    <w:p>
      <w:pPr>
        <w:spacing w:line="360" w:lineRule="auto"/>
        <w:ind w:firstLine="480" w:firstLineChars="200"/>
        <w:rPr>
          <w:sz w:val="24"/>
          <w:szCs w:val="24"/>
        </w:rPr>
      </w:pPr>
      <w:r>
        <w:rPr>
          <w:sz w:val="24"/>
          <w:szCs w:val="24"/>
        </w:rPr>
        <w:t>1. 负责房屋建筑共用部位的维修、养护管理。含楼盖、屋顶、樑、柱、内外墙体和基础等承重结构部位、外墙面、楼梯间、走廊通道、门窗、设备机房，规范管理空调安装问题，加强监督小区正在装修的业户噪音粉尘的管控。</w:t>
      </w:r>
    </w:p>
    <w:p>
      <w:pPr>
        <w:spacing w:line="360" w:lineRule="auto"/>
        <w:ind w:firstLine="480" w:firstLineChars="200"/>
        <w:rPr>
          <w:sz w:val="24"/>
          <w:szCs w:val="24"/>
        </w:rPr>
      </w:pPr>
      <w:r>
        <w:rPr>
          <w:sz w:val="24"/>
          <w:szCs w:val="24"/>
        </w:rPr>
        <w:t xml:space="preserve">2. 负责小区内公共设施设备的维修、养护管理。含共用的供水管道、落水管道、烟囱、共用照明、配电系统、楼内消防设施设备（根据法律法规和政策规定，由市政管理等部门管理的除外）。 </w:t>
      </w:r>
    </w:p>
    <w:p>
      <w:pPr>
        <w:spacing w:line="360" w:lineRule="auto"/>
        <w:ind w:firstLine="480" w:firstLineChars="200"/>
        <w:rPr>
          <w:sz w:val="24"/>
          <w:szCs w:val="24"/>
        </w:rPr>
      </w:pPr>
      <w:r>
        <w:rPr>
          <w:sz w:val="24"/>
          <w:szCs w:val="24"/>
        </w:rPr>
        <w:t>3.小区的市政配套设备设施的维修、养护管理（包括但不限于完善门禁系统的维修、维护，保证门禁系统的正常运作，确保小区安全；监控设备维修或，排查并保证所有监控正常运行，车库排水涵井上铁板、排水沟上的格栅等维修或更换等）。含小区内的交通道路、排水渠道和化粪池、园林景观和绿化植物、公共停车场、文化娱乐场所和设备（根据法律法规和政策规定，由市政管理等部门管理的除外）。</w:t>
      </w:r>
    </w:p>
    <w:p>
      <w:pPr>
        <w:spacing w:line="360" w:lineRule="auto"/>
        <w:ind w:firstLine="480" w:firstLineChars="200"/>
        <w:rPr>
          <w:sz w:val="24"/>
          <w:szCs w:val="24"/>
        </w:rPr>
      </w:pPr>
    </w:p>
    <w:p>
      <w:pPr>
        <w:spacing w:line="360" w:lineRule="auto"/>
        <w:rPr>
          <w:sz w:val="24"/>
          <w:szCs w:val="24"/>
        </w:rPr>
      </w:pPr>
    </w:p>
    <w:p>
      <w:pPr>
        <w:spacing w:line="360" w:lineRule="auto"/>
        <w:ind w:firstLine="480" w:firstLineChars="200"/>
        <w:rPr>
          <w:sz w:val="24"/>
          <w:szCs w:val="24"/>
        </w:rPr>
      </w:pPr>
      <w:r>
        <w:rPr>
          <w:sz w:val="24"/>
          <w:szCs w:val="24"/>
        </w:rPr>
        <w:t>（二）甲方委托乙方向小区业主和物业使用人提供日常公共服务。</w:t>
      </w:r>
    </w:p>
    <w:p>
      <w:pPr>
        <w:spacing w:line="360" w:lineRule="auto"/>
        <w:ind w:firstLine="480" w:firstLineChars="200"/>
        <w:rPr>
          <w:sz w:val="24"/>
          <w:szCs w:val="24"/>
        </w:rPr>
      </w:pPr>
      <w:r>
        <w:rPr>
          <w:sz w:val="24"/>
          <w:szCs w:val="24"/>
        </w:rPr>
        <w:t xml:space="preserve">1.住宅装饰装修管理服务。   </w:t>
      </w:r>
    </w:p>
    <w:p>
      <w:pPr>
        <w:spacing w:line="360" w:lineRule="auto"/>
        <w:ind w:firstLine="480" w:firstLineChars="200"/>
        <w:rPr>
          <w:sz w:val="24"/>
          <w:szCs w:val="24"/>
        </w:rPr>
      </w:pPr>
      <w:r>
        <w:rPr>
          <w:sz w:val="24"/>
          <w:szCs w:val="24"/>
        </w:rPr>
        <w:t>2.维护小区内交通秩序。</w:t>
      </w:r>
    </w:p>
    <w:p>
      <w:pPr>
        <w:spacing w:line="360" w:lineRule="auto"/>
        <w:rPr>
          <w:sz w:val="24"/>
          <w:szCs w:val="24"/>
        </w:rPr>
      </w:pPr>
      <w:r>
        <w:rPr>
          <w:sz w:val="24"/>
          <w:szCs w:val="24"/>
        </w:rPr>
        <w:t xml:space="preserve">    3.维护小区内的安全秩序：在小区各个出入口安排人员值班，监控人员和财物进出；安排人员不定时巡视小区内地面及各层楼道公共位置和公共活动场所。</w:t>
      </w:r>
    </w:p>
    <w:p>
      <w:pPr>
        <w:spacing w:line="360" w:lineRule="auto"/>
        <w:rPr>
          <w:sz w:val="24"/>
          <w:szCs w:val="24"/>
        </w:rPr>
      </w:pPr>
      <w:r>
        <w:rPr>
          <w:sz w:val="24"/>
          <w:szCs w:val="24"/>
        </w:rPr>
        <w:t xml:space="preserve">    4.做好小区防火、防涝工作。</w:t>
      </w:r>
    </w:p>
    <w:p>
      <w:pPr>
        <w:spacing w:line="360" w:lineRule="auto"/>
        <w:rPr>
          <w:sz w:val="24"/>
          <w:szCs w:val="24"/>
        </w:rPr>
      </w:pPr>
      <w:r>
        <w:rPr>
          <w:sz w:val="24"/>
          <w:szCs w:val="24"/>
        </w:rPr>
        <w:t xml:space="preserve">    5.提供小区公共环境保洁服务（清洁和生活垃圾清运），范围包含业主专有部份以外的公共活动场所、交通道路等。</w:t>
      </w:r>
    </w:p>
    <w:p>
      <w:pPr>
        <w:spacing w:line="360" w:lineRule="auto"/>
        <w:ind w:firstLine="480" w:firstLineChars="200"/>
        <w:rPr>
          <w:sz w:val="24"/>
          <w:szCs w:val="24"/>
        </w:rPr>
      </w:pPr>
      <w:r>
        <w:rPr>
          <w:sz w:val="24"/>
          <w:szCs w:val="24"/>
        </w:rPr>
        <w:t>6.在重要节日，包括但不限于儿童节、中秋节、春节等组织开展社区文化、娱乐活动，丰富住户业余文化活动。</w:t>
      </w:r>
    </w:p>
    <w:p>
      <w:pPr>
        <w:spacing w:line="360" w:lineRule="auto"/>
        <w:ind w:firstLine="480" w:firstLineChars="200"/>
        <w:rPr>
          <w:sz w:val="24"/>
          <w:szCs w:val="24"/>
        </w:rPr>
      </w:pPr>
      <w:r>
        <w:rPr>
          <w:sz w:val="24"/>
          <w:szCs w:val="24"/>
        </w:rPr>
        <w:t>7.管理有关小区的重要资料和保管保密小区业主资料。</w:t>
      </w:r>
    </w:p>
    <w:p>
      <w:pPr>
        <w:spacing w:line="360" w:lineRule="auto"/>
        <w:ind w:firstLine="480" w:firstLineChars="200"/>
        <w:rPr>
          <w:sz w:val="24"/>
          <w:szCs w:val="24"/>
        </w:rPr>
      </w:pPr>
      <w:r>
        <w:rPr>
          <w:sz w:val="24"/>
          <w:szCs w:val="24"/>
        </w:rPr>
        <w:t>8.业主和</w:t>
      </w:r>
      <w:r>
        <w:rPr>
          <w:rFonts w:hint="eastAsia"/>
          <w:sz w:val="24"/>
          <w:szCs w:val="24"/>
          <w:lang w:val="en-US" w:eastAsia="zh-CN"/>
        </w:rPr>
        <w:t>物业</w:t>
      </w:r>
      <w:r>
        <w:rPr>
          <w:sz w:val="24"/>
          <w:szCs w:val="24"/>
        </w:rPr>
        <w:t>使用人需要乙方提供其他服务内容或对其物业专有部分提供服务的，由双方另行商讨约定。</w:t>
      </w:r>
    </w:p>
    <w:p>
      <w:pPr>
        <w:spacing w:line="360" w:lineRule="auto"/>
        <w:rPr>
          <w:b/>
          <w:sz w:val="24"/>
          <w:szCs w:val="24"/>
        </w:rPr>
      </w:pPr>
      <w:r>
        <w:rPr>
          <w:b/>
          <w:sz w:val="24"/>
          <w:szCs w:val="24"/>
        </w:rPr>
        <w:t xml:space="preserve">    第四条  物业管理服务标准</w:t>
      </w:r>
    </w:p>
    <w:p>
      <w:pPr>
        <w:spacing w:line="360" w:lineRule="auto"/>
        <w:ind w:firstLine="480" w:firstLineChars="200"/>
        <w:rPr>
          <w:sz w:val="24"/>
          <w:szCs w:val="24"/>
        </w:rPr>
      </w:pPr>
      <w:r>
        <w:rPr>
          <w:sz w:val="24"/>
          <w:szCs w:val="24"/>
        </w:rPr>
        <w:t>（一）房屋外观：房屋外观整齐、美观。</w:t>
      </w:r>
    </w:p>
    <w:p>
      <w:pPr>
        <w:spacing w:line="360" w:lineRule="auto"/>
        <w:ind w:firstLine="480" w:firstLineChars="200"/>
        <w:rPr>
          <w:sz w:val="24"/>
          <w:szCs w:val="24"/>
        </w:rPr>
      </w:pPr>
      <w:r>
        <w:rPr>
          <w:sz w:val="24"/>
          <w:szCs w:val="24"/>
        </w:rPr>
        <w:t>（二）设备运行：对设备进行定期检查保养，确保设备运行正常。</w:t>
      </w:r>
    </w:p>
    <w:p>
      <w:pPr>
        <w:spacing w:line="360" w:lineRule="auto"/>
        <w:ind w:firstLine="480" w:firstLineChars="200"/>
        <w:rPr>
          <w:sz w:val="24"/>
          <w:szCs w:val="24"/>
        </w:rPr>
      </w:pPr>
      <w:r>
        <w:rPr>
          <w:sz w:val="24"/>
          <w:szCs w:val="24"/>
        </w:rPr>
        <w:t>（三）共用部位、共用设施设备的维修和管理：道路、护坡、上下排污管道维护良好。</w:t>
      </w:r>
    </w:p>
    <w:p>
      <w:pPr>
        <w:spacing w:line="360" w:lineRule="auto"/>
        <w:ind w:firstLine="480" w:firstLineChars="200"/>
        <w:rPr>
          <w:sz w:val="24"/>
          <w:szCs w:val="24"/>
        </w:rPr>
      </w:pPr>
      <w:r>
        <w:rPr>
          <w:sz w:val="24"/>
          <w:szCs w:val="24"/>
        </w:rPr>
        <w:t>（四）环境卫生：公共区域干净、整洁；定期开展灭蚊、灭蝇、灭鼠，经常清理“四害”孽生地。</w:t>
      </w:r>
    </w:p>
    <w:p>
      <w:pPr>
        <w:spacing w:line="360" w:lineRule="auto"/>
        <w:ind w:firstLine="480" w:firstLineChars="200"/>
        <w:rPr>
          <w:sz w:val="24"/>
          <w:szCs w:val="24"/>
        </w:rPr>
      </w:pPr>
      <w:r>
        <w:rPr>
          <w:sz w:val="24"/>
          <w:szCs w:val="24"/>
        </w:rPr>
        <w:t>（五）绿化：修剪整齐，生长良好。</w:t>
      </w:r>
    </w:p>
    <w:p>
      <w:pPr>
        <w:spacing w:line="360" w:lineRule="auto"/>
        <w:ind w:firstLine="480" w:firstLineChars="200"/>
        <w:rPr>
          <w:sz w:val="24"/>
          <w:szCs w:val="24"/>
        </w:rPr>
      </w:pPr>
      <w:r>
        <w:rPr>
          <w:sz w:val="24"/>
          <w:szCs w:val="24"/>
        </w:rPr>
        <w:t>（六）管理小区交通秩序：全天候巡视小区内的交通情况，对乱停乱放车辆及时予以劝告，维护小区内交通道路畅通。</w:t>
      </w:r>
    </w:p>
    <w:p>
      <w:pPr>
        <w:spacing w:line="360" w:lineRule="auto"/>
        <w:ind w:firstLine="480" w:firstLineChars="200"/>
        <w:rPr>
          <w:sz w:val="24"/>
          <w:szCs w:val="24"/>
        </w:rPr>
      </w:pPr>
      <w:r>
        <w:rPr>
          <w:sz w:val="24"/>
          <w:szCs w:val="24"/>
        </w:rPr>
        <w:t>（七）维护治安秩序：出入口设固定值班岗24小时执勤，不定时巡视小区内地面重点位置（每天不少于10次），各幢各层楼道每天1次以上，必要时可提供重点位置在内的视频监控录像取证。</w:t>
      </w:r>
    </w:p>
    <w:p>
      <w:pPr>
        <w:spacing w:line="360" w:lineRule="auto"/>
        <w:ind w:firstLine="480" w:firstLineChars="200"/>
        <w:rPr>
          <w:sz w:val="24"/>
          <w:szCs w:val="24"/>
        </w:rPr>
      </w:pPr>
      <w:r>
        <w:rPr>
          <w:sz w:val="24"/>
          <w:szCs w:val="24"/>
        </w:rPr>
        <w:t>（八）消防管理：定期维护消防设施，确保设备运行良好；宣传消防知识，巡查小区公共位置的消防安全情况；劝告制止违反消防管理规定的行为，处理初级火警。</w:t>
      </w:r>
    </w:p>
    <w:p>
      <w:pPr>
        <w:spacing w:line="360" w:lineRule="auto"/>
        <w:ind w:firstLine="480" w:firstLineChars="200"/>
        <w:rPr>
          <w:sz w:val="24"/>
          <w:szCs w:val="24"/>
        </w:rPr>
      </w:pPr>
      <w:r>
        <w:rPr>
          <w:sz w:val="24"/>
          <w:szCs w:val="24"/>
        </w:rPr>
        <w:t>（九）房屋共用部位、共用实施设备运行维护：急修：遇停电，停水，下水道，沙井，化粪池堵塞等管理处接报后15分钟派人到达现场并釆取应急措施，负责联络并督促供电，供水，市政相关部门等从速解决；小修：上班时间内30分钟维修人员到达现场开工，下班时间报修的，下一个工作日，上班30分钟内维修人员到达现场开工24小时内完成维修；大、中修：7天完成维修并报告业主委员会。</w:t>
      </w:r>
    </w:p>
    <w:p>
      <w:pPr>
        <w:spacing w:line="360" w:lineRule="auto"/>
        <w:ind w:firstLine="480" w:firstLineChars="200"/>
        <w:rPr>
          <w:sz w:val="24"/>
          <w:szCs w:val="24"/>
        </w:rPr>
      </w:pPr>
      <w:r>
        <w:rPr>
          <w:sz w:val="24"/>
          <w:szCs w:val="24"/>
        </w:rPr>
        <w:t>（十）严格车辆进出车库的管理，没有出入卡的，不得进入车库停车。如确实需要进入的，必须做到出入登记车辆信息及驾驶人签名。</w:t>
      </w:r>
    </w:p>
    <w:p>
      <w:pPr>
        <w:spacing w:line="360" w:lineRule="auto"/>
        <w:ind w:firstLine="480" w:firstLineChars="200"/>
        <w:rPr>
          <w:sz w:val="24"/>
          <w:szCs w:val="24"/>
        </w:rPr>
      </w:pPr>
      <w:r>
        <w:rPr>
          <w:sz w:val="24"/>
          <w:szCs w:val="24"/>
        </w:rPr>
        <w:t>（十一）重新登记已买车位的出入卡，开通卡后在发票上盖个己发卡的章。整治乱停乱放。</w:t>
      </w:r>
    </w:p>
    <w:p>
      <w:pPr>
        <w:spacing w:line="360" w:lineRule="auto"/>
        <w:ind w:firstLine="480" w:firstLineChars="200"/>
        <w:rPr>
          <w:sz w:val="24"/>
          <w:szCs w:val="24"/>
        </w:rPr>
      </w:pPr>
      <w:r>
        <w:rPr>
          <w:sz w:val="24"/>
          <w:szCs w:val="24"/>
        </w:rPr>
        <w:t xml:space="preserve">（十二）划分摩托车的停放位置，并用黄色油漆划好停车黄线格，加强安全管理。 </w:t>
      </w:r>
    </w:p>
    <w:p>
      <w:pPr>
        <w:spacing w:line="360" w:lineRule="auto"/>
        <w:ind w:firstLine="480" w:firstLineChars="200"/>
        <w:rPr>
          <w:sz w:val="24"/>
          <w:szCs w:val="24"/>
        </w:rPr>
      </w:pPr>
      <w:r>
        <w:rPr>
          <w:sz w:val="24"/>
          <w:szCs w:val="24"/>
        </w:rPr>
        <w:t>（十三） 加强车库出入口路段的管理，整治车库出入口路段车辆乱停乱放，影响进出车辆视线的乱停现象。</w:t>
      </w:r>
    </w:p>
    <w:p>
      <w:pPr>
        <w:spacing w:line="360" w:lineRule="auto"/>
        <w:ind w:firstLine="480" w:firstLineChars="200"/>
        <w:rPr>
          <w:sz w:val="24"/>
          <w:szCs w:val="24"/>
        </w:rPr>
      </w:pPr>
      <w:r>
        <w:rPr>
          <w:sz w:val="24"/>
          <w:szCs w:val="24"/>
        </w:rPr>
        <w:t xml:space="preserve">（十四）整平地下车库排水沟的铁栏，保障行车平稳，排水沟定期清理。 </w:t>
      </w:r>
    </w:p>
    <w:p>
      <w:pPr>
        <w:spacing w:line="360" w:lineRule="auto"/>
        <w:ind w:firstLine="480" w:firstLineChars="200"/>
        <w:rPr>
          <w:sz w:val="24"/>
          <w:szCs w:val="24"/>
        </w:rPr>
      </w:pPr>
      <w:r>
        <w:rPr>
          <w:sz w:val="24"/>
          <w:szCs w:val="24"/>
        </w:rPr>
        <w:t>（十五）车库增加照明灯，并定期清洗。</w:t>
      </w:r>
    </w:p>
    <w:p>
      <w:pPr>
        <w:spacing w:line="360" w:lineRule="auto"/>
        <w:ind w:firstLine="480" w:firstLineChars="200"/>
        <w:rPr>
          <w:sz w:val="24"/>
          <w:szCs w:val="24"/>
        </w:rPr>
      </w:pPr>
      <w:r>
        <w:rPr>
          <w:sz w:val="24"/>
          <w:szCs w:val="24"/>
        </w:rPr>
        <w:t>（十六）负一楼车库垃圾桶要合理放置，要及时清洗。</w:t>
      </w:r>
    </w:p>
    <w:p>
      <w:pPr>
        <w:spacing w:line="360" w:lineRule="auto"/>
        <w:ind w:firstLine="480" w:firstLineChars="200"/>
        <w:rPr>
          <w:sz w:val="24"/>
          <w:szCs w:val="24"/>
        </w:rPr>
      </w:pPr>
      <w:r>
        <w:rPr>
          <w:sz w:val="24"/>
          <w:szCs w:val="24"/>
        </w:rPr>
        <w:t>（十七）装修垃圾和生活垃圾分开地方安放。</w:t>
      </w:r>
    </w:p>
    <w:p>
      <w:pPr>
        <w:spacing w:line="360" w:lineRule="auto"/>
        <w:ind w:firstLine="480" w:firstLineChars="200"/>
        <w:rPr>
          <w:sz w:val="24"/>
          <w:szCs w:val="24"/>
        </w:rPr>
      </w:pPr>
      <w:r>
        <w:rPr>
          <w:sz w:val="24"/>
          <w:szCs w:val="24"/>
        </w:rPr>
        <w:t>以上未约定事项或约定内容不明确的，参照中国物业管理协会颁布的“中物协〔2004〕1号《普通住宅小区物业管理服务等级标准》”的二级标准要求执行。</w:t>
      </w:r>
    </w:p>
    <w:p>
      <w:pPr>
        <w:spacing w:line="480" w:lineRule="exact"/>
      </w:pPr>
      <w:r>
        <w:rPr>
          <w:b/>
          <w:sz w:val="24"/>
          <w:szCs w:val="24"/>
        </w:rPr>
        <w:t xml:space="preserve">第五条 </w:t>
      </w:r>
      <w:r>
        <w:rPr>
          <w:b/>
          <w:bCs/>
          <w:sz w:val="28"/>
          <w:szCs w:val="28"/>
        </w:rPr>
        <w:t>服务要求</w:t>
      </w:r>
      <w:r>
        <w:t xml:space="preserve"> </w:t>
      </w:r>
    </w:p>
    <w:p>
      <w:pPr>
        <w:spacing w:line="480" w:lineRule="exact"/>
        <w:rPr>
          <w:sz w:val="24"/>
          <w:szCs w:val="24"/>
        </w:rPr>
      </w:pPr>
      <w:r>
        <w:rPr>
          <w:sz w:val="24"/>
          <w:szCs w:val="24"/>
        </w:rPr>
        <w:t xml:space="preserve">（一） 总体指标： </w:t>
      </w:r>
    </w:p>
    <w:p>
      <w:pPr>
        <w:spacing w:line="480" w:lineRule="exact"/>
        <w:rPr>
          <w:sz w:val="24"/>
          <w:szCs w:val="24"/>
        </w:rPr>
      </w:pPr>
      <w:r>
        <w:rPr>
          <w:sz w:val="24"/>
          <w:szCs w:val="24"/>
        </w:rPr>
        <w:t xml:space="preserve">1. </w:t>
      </w:r>
      <w:r>
        <w:rPr>
          <w:rFonts w:hint="eastAsia"/>
          <w:sz w:val="24"/>
          <w:szCs w:val="24"/>
          <w:lang w:val="en-US" w:eastAsia="zh-CN"/>
        </w:rPr>
        <w:t>业主</w:t>
      </w:r>
      <w:r>
        <w:rPr>
          <w:sz w:val="24"/>
          <w:szCs w:val="24"/>
        </w:rPr>
        <w:t>和物业使用人对</w:t>
      </w:r>
      <w:r>
        <w:rPr>
          <w:rFonts w:hint="eastAsia"/>
          <w:sz w:val="24"/>
          <w:szCs w:val="24"/>
          <w:lang w:val="en-US" w:eastAsia="zh-CN"/>
        </w:rPr>
        <w:t>乙方</w:t>
      </w:r>
      <w:r>
        <w:rPr>
          <w:sz w:val="24"/>
          <w:szCs w:val="24"/>
        </w:rPr>
        <w:t xml:space="preserve">的满意度达 90%以上； </w:t>
      </w:r>
    </w:p>
    <w:p>
      <w:pPr>
        <w:spacing w:line="480" w:lineRule="exact"/>
        <w:rPr>
          <w:sz w:val="24"/>
          <w:szCs w:val="24"/>
        </w:rPr>
      </w:pPr>
      <w:r>
        <w:rPr>
          <w:sz w:val="24"/>
          <w:szCs w:val="24"/>
        </w:rPr>
        <w:t xml:space="preserve">2. 管理服务期间内不发生重大安全责任事故， </w:t>
      </w:r>
    </w:p>
    <w:p>
      <w:pPr>
        <w:spacing w:line="480" w:lineRule="exact"/>
        <w:rPr>
          <w:sz w:val="24"/>
          <w:szCs w:val="24"/>
        </w:rPr>
      </w:pPr>
      <w:r>
        <w:rPr>
          <w:sz w:val="24"/>
          <w:szCs w:val="24"/>
        </w:rPr>
        <w:t xml:space="preserve">    管理服务期间内不发生重大火灾责任事故， </w:t>
      </w:r>
    </w:p>
    <w:p>
      <w:pPr>
        <w:spacing w:line="480" w:lineRule="exact"/>
        <w:rPr>
          <w:sz w:val="24"/>
          <w:szCs w:val="24"/>
        </w:rPr>
      </w:pPr>
      <w:r>
        <w:rPr>
          <w:sz w:val="24"/>
          <w:szCs w:val="24"/>
        </w:rPr>
        <w:t xml:space="preserve">    管理服务期间内不发生重大设备管理责任事故； </w:t>
      </w:r>
    </w:p>
    <w:p>
      <w:pPr>
        <w:spacing w:line="480" w:lineRule="exact"/>
        <w:rPr>
          <w:sz w:val="24"/>
          <w:szCs w:val="24"/>
        </w:rPr>
      </w:pPr>
      <w:r>
        <w:rPr>
          <w:sz w:val="24"/>
          <w:szCs w:val="24"/>
        </w:rPr>
        <w:t xml:space="preserve">(二)、 分类指标 </w:t>
      </w:r>
    </w:p>
    <w:p>
      <w:pPr>
        <w:spacing w:line="480" w:lineRule="exact"/>
        <w:ind w:firstLine="240" w:firstLineChars="100"/>
        <w:rPr>
          <w:sz w:val="24"/>
          <w:szCs w:val="24"/>
        </w:rPr>
      </w:pPr>
      <w:r>
        <w:rPr>
          <w:sz w:val="24"/>
          <w:szCs w:val="24"/>
        </w:rPr>
        <w:t xml:space="preserve">1. 物业服务中心设专线 24 小时受理求助、报修、投诉， </w:t>
      </w:r>
    </w:p>
    <w:p>
      <w:pPr>
        <w:spacing w:line="480" w:lineRule="exact"/>
        <w:ind w:firstLine="240" w:firstLineChars="100"/>
        <w:rPr>
          <w:sz w:val="24"/>
          <w:szCs w:val="24"/>
        </w:rPr>
      </w:pPr>
      <w:r>
        <w:rPr>
          <w:sz w:val="24"/>
          <w:szCs w:val="24"/>
        </w:rPr>
        <w:t xml:space="preserve">2.服务中心业户接待时间：365 天 8:30-19:00； </w:t>
      </w:r>
    </w:p>
    <w:p>
      <w:pPr>
        <w:spacing w:line="480" w:lineRule="exact"/>
        <w:ind w:firstLine="240" w:firstLineChars="100"/>
        <w:rPr>
          <w:sz w:val="24"/>
          <w:szCs w:val="24"/>
        </w:rPr>
      </w:pPr>
      <w:r>
        <w:rPr>
          <w:sz w:val="24"/>
          <w:szCs w:val="24"/>
        </w:rPr>
        <w:t xml:space="preserve">3 .各类服务人员上岗培训率达到 100%； </w:t>
      </w:r>
    </w:p>
    <w:p>
      <w:pPr>
        <w:spacing w:line="480" w:lineRule="exact"/>
        <w:ind w:firstLine="240" w:firstLineChars="100"/>
        <w:rPr>
          <w:sz w:val="24"/>
          <w:szCs w:val="24"/>
        </w:rPr>
      </w:pPr>
      <w:r>
        <w:rPr>
          <w:sz w:val="24"/>
          <w:szCs w:val="24"/>
        </w:rPr>
        <w:t xml:space="preserve">4 .档案归档率达到 100%， </w:t>
      </w:r>
    </w:p>
    <w:p>
      <w:pPr>
        <w:spacing w:line="480" w:lineRule="exact"/>
        <w:ind w:firstLine="240" w:firstLineChars="100"/>
        <w:rPr>
          <w:sz w:val="24"/>
          <w:szCs w:val="24"/>
        </w:rPr>
      </w:pPr>
      <w:r>
        <w:rPr>
          <w:sz w:val="24"/>
          <w:szCs w:val="24"/>
        </w:rPr>
        <w:t xml:space="preserve">5 .档案完整率达到 100%； </w:t>
      </w:r>
    </w:p>
    <w:p>
      <w:pPr>
        <w:spacing w:line="480" w:lineRule="exact"/>
        <w:ind w:firstLine="240" w:firstLineChars="100"/>
        <w:rPr>
          <w:sz w:val="24"/>
          <w:szCs w:val="24"/>
        </w:rPr>
      </w:pPr>
      <w:r>
        <w:rPr>
          <w:sz w:val="24"/>
          <w:szCs w:val="24"/>
        </w:rPr>
        <w:t xml:space="preserve">6 .维修及时率达到 98%； </w:t>
      </w:r>
    </w:p>
    <w:p>
      <w:pPr>
        <w:spacing w:line="480" w:lineRule="exact"/>
        <w:ind w:firstLine="240" w:firstLineChars="100"/>
        <w:rPr>
          <w:sz w:val="24"/>
          <w:szCs w:val="24"/>
        </w:rPr>
      </w:pPr>
      <w:r>
        <w:rPr>
          <w:sz w:val="24"/>
          <w:szCs w:val="24"/>
        </w:rPr>
        <w:t xml:space="preserve">7 .维修质量合格率达到 95%以上； </w:t>
      </w:r>
    </w:p>
    <w:p>
      <w:pPr>
        <w:spacing w:line="480" w:lineRule="exact"/>
        <w:ind w:firstLine="240" w:firstLineChars="100"/>
        <w:rPr>
          <w:sz w:val="24"/>
          <w:szCs w:val="24"/>
        </w:rPr>
      </w:pPr>
      <w:r>
        <w:rPr>
          <w:sz w:val="24"/>
          <w:szCs w:val="24"/>
        </w:rPr>
        <w:t xml:space="preserve">8 .实行维修服务回访制度，回访率达到 100%； </w:t>
      </w:r>
    </w:p>
    <w:p>
      <w:pPr>
        <w:spacing w:line="480" w:lineRule="exact"/>
        <w:ind w:firstLine="240" w:firstLineChars="100"/>
        <w:rPr>
          <w:sz w:val="24"/>
          <w:szCs w:val="24"/>
        </w:rPr>
      </w:pPr>
      <w:r>
        <w:rPr>
          <w:sz w:val="24"/>
          <w:szCs w:val="24"/>
        </w:rPr>
        <w:t xml:space="preserve">9 .有效投诉处理率 100％； </w:t>
      </w:r>
    </w:p>
    <w:p>
      <w:pPr>
        <w:spacing w:line="480" w:lineRule="exact"/>
        <w:ind w:firstLine="240" w:firstLineChars="100"/>
        <w:rPr>
          <w:sz w:val="24"/>
          <w:szCs w:val="24"/>
        </w:rPr>
      </w:pPr>
      <w:r>
        <w:rPr>
          <w:sz w:val="24"/>
          <w:szCs w:val="24"/>
        </w:rPr>
        <w:t xml:space="preserve">10 .公共设备、设施完好率达到 98％以上； </w:t>
      </w:r>
    </w:p>
    <w:p>
      <w:pPr>
        <w:spacing w:line="480" w:lineRule="exact"/>
        <w:ind w:firstLine="240" w:firstLineChars="100"/>
        <w:rPr>
          <w:sz w:val="24"/>
          <w:szCs w:val="24"/>
        </w:rPr>
      </w:pPr>
      <w:r>
        <w:rPr>
          <w:sz w:val="24"/>
          <w:szCs w:val="24"/>
        </w:rPr>
        <w:t xml:space="preserve">11 .房屋建筑完好率达到 98%以上； </w:t>
      </w:r>
    </w:p>
    <w:p>
      <w:pPr>
        <w:spacing w:line="480" w:lineRule="exact"/>
        <w:ind w:firstLine="240" w:firstLineChars="100"/>
        <w:rPr>
          <w:sz w:val="24"/>
          <w:szCs w:val="24"/>
        </w:rPr>
      </w:pPr>
      <w:r>
        <w:rPr>
          <w:sz w:val="24"/>
          <w:szCs w:val="24"/>
        </w:rPr>
        <w:t xml:space="preserve">12 .绿化存活率达到 95%以上； </w:t>
      </w:r>
    </w:p>
    <w:p>
      <w:pPr>
        <w:spacing w:line="480" w:lineRule="exact"/>
        <w:ind w:firstLine="240" w:firstLineChars="100"/>
        <w:rPr>
          <w:sz w:val="24"/>
          <w:szCs w:val="24"/>
        </w:rPr>
      </w:pPr>
      <w:r>
        <w:rPr>
          <w:sz w:val="24"/>
          <w:szCs w:val="24"/>
        </w:rPr>
        <w:t xml:space="preserve">13 .清洁管理无盲点， </w:t>
      </w:r>
    </w:p>
    <w:p>
      <w:pPr>
        <w:spacing w:line="480" w:lineRule="exact"/>
        <w:ind w:firstLine="240" w:firstLineChars="100"/>
        <w:rPr>
          <w:sz w:val="24"/>
          <w:szCs w:val="24"/>
        </w:rPr>
      </w:pPr>
      <w:r>
        <w:rPr>
          <w:sz w:val="24"/>
          <w:szCs w:val="24"/>
        </w:rPr>
        <w:t xml:space="preserve">14 .管理服务范围保持环境整洁，生活垃圾日产日清； </w:t>
      </w:r>
    </w:p>
    <w:p>
      <w:pPr>
        <w:spacing w:line="480" w:lineRule="exact"/>
        <w:ind w:firstLine="240" w:firstLineChars="100"/>
        <w:rPr>
          <w:sz w:val="24"/>
          <w:szCs w:val="24"/>
        </w:rPr>
      </w:pPr>
      <w:r>
        <w:rPr>
          <w:sz w:val="24"/>
          <w:szCs w:val="24"/>
        </w:rPr>
        <w:t xml:space="preserve">15 .道路、停车场完好率达到 98%以上； </w:t>
      </w:r>
    </w:p>
    <w:p>
      <w:pPr>
        <w:spacing w:line="480" w:lineRule="exact"/>
        <w:ind w:firstLine="240" w:firstLineChars="100"/>
        <w:rPr>
          <w:b/>
          <w:sz w:val="24"/>
          <w:szCs w:val="24"/>
        </w:rPr>
      </w:pPr>
      <w:r>
        <w:rPr>
          <w:sz w:val="24"/>
          <w:szCs w:val="24"/>
        </w:rPr>
        <w:t>16. 管理服务范围内保安固定岗实行 24 小时安全巡查。</w:t>
      </w:r>
    </w:p>
    <w:p>
      <w:pPr>
        <w:spacing w:line="360" w:lineRule="auto"/>
        <w:rPr>
          <w:b/>
          <w:sz w:val="24"/>
          <w:szCs w:val="24"/>
        </w:rPr>
      </w:pPr>
      <w:r>
        <w:rPr>
          <w:b/>
          <w:sz w:val="24"/>
          <w:szCs w:val="24"/>
        </w:rPr>
        <w:t>第六条 物业管理服务费用的构成和计算标准、收付方式</w:t>
      </w:r>
    </w:p>
    <w:p>
      <w:pPr>
        <w:spacing w:line="360" w:lineRule="auto"/>
        <w:ind w:firstLine="480" w:firstLineChars="200"/>
        <w:rPr>
          <w:sz w:val="24"/>
          <w:szCs w:val="24"/>
        </w:rPr>
      </w:pPr>
      <w:r>
        <w:rPr>
          <w:sz w:val="24"/>
          <w:szCs w:val="24"/>
        </w:rPr>
        <w:t>（一）本物业项目服务实行“包干制”，即：乙方按本合同约定的服务内容及质量标准向业主提供服务，并收取相应的物业服务费，物业服务费及车位服务费进乙方财务账户，公共收益进业委会账户，单价包干、盈亏自负。除非依照本合同规定和国家法律法规，并通过合法程序予以调整外，乙方不得以亏损为由要求增加费用，也不能降低服务标准或减少服务内容。如乙方因亏损而达不到服务要求的，甲方有权单方面解除合同，并没收合同履约金。物业服务费用的构成包括物业服务成本、法定税费和物业管理企业的利润。其中，物业服务成本包括以下八个细项费用：</w:t>
      </w:r>
    </w:p>
    <w:p>
      <w:pPr>
        <w:spacing w:line="480" w:lineRule="auto"/>
        <w:ind w:firstLine="480" w:firstLineChars="200"/>
      </w:pPr>
      <w:r>
        <w:rPr>
          <w:sz w:val="24"/>
          <w:szCs w:val="24"/>
        </w:rPr>
        <w:t>1.</w:t>
      </w:r>
      <w:r>
        <w:rPr>
          <w:rFonts w:ascii="宋体" w:hAnsi="宋体" w:cs="宋体"/>
          <w:sz w:val="24"/>
          <w:szCs w:val="24"/>
        </w:rPr>
        <w:t>管理服务人员的工资、社会保险和按规定提取的福利费等；</w:t>
      </w:r>
      <w:r>
        <w:rPr>
          <w:rFonts w:ascii="宋体" w:hAnsi="宋体" w:cs="宋体"/>
          <w:sz w:val="24"/>
          <w:szCs w:val="24"/>
        </w:rPr>
        <w:br w:type="textWrapping"/>
      </w:r>
      <w:r>
        <w:rPr>
          <w:rFonts w:ascii="宋体" w:hAnsi="宋体" w:cs="宋体"/>
          <w:sz w:val="24"/>
          <w:szCs w:val="24"/>
        </w:rPr>
        <w:t>　　2.物业共用部位、共用设施设备的维护费用；</w:t>
      </w:r>
      <w:r>
        <w:rPr>
          <w:rFonts w:ascii="宋体" w:hAnsi="宋体" w:cs="宋体"/>
          <w:sz w:val="24"/>
          <w:szCs w:val="24"/>
        </w:rPr>
        <w:br w:type="textWrapping"/>
      </w:r>
      <w:r>
        <w:rPr>
          <w:rFonts w:ascii="宋体" w:hAnsi="宋体" w:cs="宋体"/>
          <w:sz w:val="24"/>
          <w:szCs w:val="24"/>
        </w:rPr>
        <w:t>　　3.物业管理区域清洁卫生费用；</w:t>
      </w:r>
      <w:r>
        <w:rPr>
          <w:rFonts w:ascii="宋体" w:hAnsi="宋体" w:cs="宋体"/>
          <w:sz w:val="24"/>
          <w:szCs w:val="24"/>
        </w:rPr>
        <w:br w:type="textWrapping"/>
      </w:r>
      <w:r>
        <w:rPr>
          <w:rFonts w:ascii="宋体" w:hAnsi="宋体" w:cs="宋体"/>
          <w:sz w:val="24"/>
          <w:szCs w:val="24"/>
        </w:rPr>
        <w:t>　　4.物业管理区域绿化养护费用；</w:t>
      </w:r>
      <w:r>
        <w:rPr>
          <w:rFonts w:ascii="宋体" w:hAnsi="宋体" w:cs="宋体"/>
          <w:sz w:val="24"/>
          <w:szCs w:val="24"/>
        </w:rPr>
        <w:br w:type="textWrapping"/>
      </w:r>
      <w:r>
        <w:rPr>
          <w:rFonts w:ascii="宋体" w:hAnsi="宋体" w:cs="宋体"/>
          <w:sz w:val="24"/>
          <w:szCs w:val="24"/>
        </w:rPr>
        <w:t>　　5.物业管理区域秩序维护费用；</w:t>
      </w:r>
      <w:r>
        <w:rPr>
          <w:rFonts w:ascii="宋体" w:hAnsi="宋体" w:cs="宋体"/>
          <w:sz w:val="24"/>
          <w:szCs w:val="24"/>
        </w:rPr>
        <w:br w:type="textWrapping"/>
      </w:r>
      <w:r>
        <w:rPr>
          <w:rFonts w:ascii="宋体" w:hAnsi="宋体" w:cs="宋体"/>
          <w:sz w:val="24"/>
          <w:szCs w:val="24"/>
        </w:rPr>
        <w:t>　　6.办公费用；</w:t>
      </w:r>
      <w:r>
        <w:rPr>
          <w:rFonts w:ascii="宋体" w:hAnsi="宋体" w:cs="宋体"/>
          <w:sz w:val="24"/>
          <w:szCs w:val="24"/>
        </w:rPr>
        <w:br w:type="textWrapping"/>
      </w:r>
      <w:r>
        <w:rPr>
          <w:rFonts w:ascii="宋体" w:hAnsi="宋体" w:cs="宋体"/>
          <w:sz w:val="24"/>
          <w:szCs w:val="24"/>
        </w:rPr>
        <w:t>　　7.物业管理企业固定资产折旧；</w:t>
      </w:r>
      <w:r>
        <w:rPr>
          <w:rFonts w:ascii="宋体" w:hAnsi="宋体" w:cs="宋体"/>
          <w:sz w:val="24"/>
          <w:szCs w:val="24"/>
        </w:rPr>
        <w:br w:type="textWrapping"/>
      </w:r>
      <w:r>
        <w:rPr>
          <w:rFonts w:ascii="宋体" w:hAnsi="宋体" w:cs="宋体"/>
          <w:sz w:val="24"/>
          <w:szCs w:val="24"/>
        </w:rPr>
        <w:t xml:space="preserve">　　8.物业共用部位、共用设施设备公众责任保险费用。   </w:t>
      </w:r>
      <w:r>
        <w:rPr>
          <w:rFonts w:ascii="宋体" w:hAnsi="宋体" w:cs="宋体"/>
          <w:sz w:val="24"/>
          <w:szCs w:val="24"/>
        </w:rPr>
        <w:br w:type="textWrapping"/>
      </w:r>
      <w:r>
        <w:rPr>
          <w:rFonts w:ascii="宋体" w:hAnsi="宋体" w:cs="宋体"/>
          <w:sz w:val="24"/>
          <w:szCs w:val="24"/>
        </w:rPr>
        <w:t>　　9.</w:t>
      </w:r>
      <w:r>
        <w:rPr>
          <w:rFonts w:hint="eastAsia" w:ascii="宋体" w:hAnsi="宋体" w:cs="宋体"/>
          <w:sz w:val="24"/>
          <w:szCs w:val="32"/>
        </w:rPr>
        <w:t xml:space="preserve"> 共用设施设备的属于小修、中修、大修、更新及改造，单次单项维修费不少于人民币2000</w:t>
      </w:r>
      <w:r>
        <w:rPr>
          <w:rFonts w:ascii="宋体" w:hAnsi="宋体" w:cs="宋体"/>
          <w:sz w:val="24"/>
          <w:szCs w:val="32"/>
        </w:rPr>
        <w:t xml:space="preserve"> </w:t>
      </w:r>
      <w:r>
        <w:rPr>
          <w:rFonts w:hint="eastAsia" w:ascii="宋体" w:hAnsi="宋体" w:cs="宋体"/>
          <w:sz w:val="24"/>
          <w:szCs w:val="32"/>
        </w:rPr>
        <w:t>元（含2000元）以下由</w:t>
      </w:r>
      <w:r>
        <w:rPr>
          <w:rFonts w:hint="eastAsia" w:ascii="宋体" w:hAnsi="宋体" w:cs="宋体"/>
          <w:sz w:val="24"/>
          <w:szCs w:val="32"/>
          <w:lang w:val="en-US" w:eastAsia="zh-CN"/>
        </w:rPr>
        <w:t>乙方</w:t>
      </w:r>
      <w:r>
        <w:rPr>
          <w:rFonts w:hint="eastAsia" w:ascii="宋体" w:hAnsi="宋体" w:cs="宋体"/>
          <w:sz w:val="24"/>
          <w:szCs w:val="32"/>
        </w:rPr>
        <w:t>承担；超过以上费用由单位所有人共同承担。</w:t>
      </w:r>
    </w:p>
    <w:p>
      <w:pPr>
        <w:spacing w:line="480" w:lineRule="auto"/>
        <w:ind w:firstLine="480" w:firstLineChars="200"/>
        <w:rPr>
          <w:rFonts w:ascii="宋体" w:hAnsi="宋体" w:cs="宋体"/>
          <w:sz w:val="24"/>
          <w:szCs w:val="24"/>
        </w:rPr>
      </w:pPr>
      <w:r>
        <w:rPr>
          <w:rFonts w:ascii="宋体" w:hAnsi="宋体" w:cs="宋体"/>
          <w:sz w:val="24"/>
          <w:szCs w:val="24"/>
        </w:rPr>
        <w:t>（二）物业管理服务费标准：</w:t>
      </w:r>
    </w:p>
    <w:p>
      <w:pPr>
        <w:spacing w:line="480" w:lineRule="auto"/>
        <w:ind w:firstLine="480" w:firstLineChars="200"/>
        <w:rPr>
          <w:sz w:val="24"/>
          <w:szCs w:val="24"/>
        </w:rPr>
      </w:pPr>
      <w:r>
        <w:rPr>
          <w:rFonts w:ascii="宋体" w:hAnsi="宋体" w:cs="宋体"/>
          <w:sz w:val="24"/>
          <w:szCs w:val="24"/>
        </w:rPr>
        <w:t>1.高层住宅（配备电梯）物业以建筑面积㎡为计费单位，按业主专有或独</w:t>
      </w:r>
      <w:r>
        <w:rPr>
          <w:sz w:val="24"/>
          <w:szCs w:val="24"/>
        </w:rPr>
        <w:t>占使用的建筑面积计算应付物业管理服务费，计费标准为</w:t>
      </w:r>
      <w:r>
        <w:rPr>
          <w:sz w:val="24"/>
          <w:szCs w:val="24"/>
          <w:u w:val="single"/>
        </w:rPr>
        <w:t>1.50</w:t>
      </w:r>
      <w:r>
        <w:rPr>
          <w:sz w:val="24"/>
          <w:szCs w:val="24"/>
        </w:rPr>
        <w:t>元/㎡/月。</w:t>
      </w:r>
    </w:p>
    <w:p>
      <w:pPr>
        <w:spacing w:line="360" w:lineRule="auto"/>
        <w:ind w:firstLine="480" w:firstLineChars="200"/>
        <w:rPr>
          <w:rFonts w:ascii="宋体" w:hAnsi="宋体" w:cs="宋体"/>
          <w:sz w:val="24"/>
          <w:szCs w:val="24"/>
        </w:rPr>
      </w:pPr>
      <w:r>
        <w:rPr>
          <w:rFonts w:ascii="宋体" w:hAnsi="宋体" w:cs="宋体"/>
          <w:sz w:val="24"/>
          <w:szCs w:val="24"/>
        </w:rPr>
        <w:t>2.业主专有停车位的物业管理服务费以“个”为单位，每个汽车位（建筑面积超过5㎡）</w:t>
      </w:r>
      <w:r>
        <w:rPr>
          <w:rFonts w:ascii="宋体" w:hAnsi="宋体" w:cs="宋体"/>
          <w:sz w:val="24"/>
          <w:szCs w:val="24"/>
          <w:u w:val="single"/>
        </w:rPr>
        <w:t>30</w:t>
      </w:r>
      <w:r>
        <w:rPr>
          <w:rFonts w:ascii="宋体" w:hAnsi="宋体" w:cs="宋体"/>
          <w:sz w:val="24"/>
          <w:szCs w:val="24"/>
        </w:rPr>
        <w:t>元/月，每个摩托车位</w:t>
      </w:r>
      <w:r>
        <w:rPr>
          <w:rFonts w:ascii="宋体" w:hAnsi="宋体" w:cs="宋体"/>
          <w:sz w:val="24"/>
          <w:szCs w:val="24"/>
          <w:u w:val="single"/>
        </w:rPr>
        <w:t>10</w:t>
      </w:r>
      <w:r>
        <w:rPr>
          <w:rFonts w:ascii="宋体" w:hAnsi="宋体" w:cs="宋体"/>
          <w:sz w:val="24"/>
          <w:szCs w:val="24"/>
        </w:rPr>
        <w:t>元/月。</w:t>
      </w:r>
    </w:p>
    <w:p>
      <w:pPr>
        <w:spacing w:line="360" w:lineRule="auto"/>
        <w:ind w:firstLine="480" w:firstLineChars="200"/>
        <w:rPr>
          <w:sz w:val="24"/>
          <w:szCs w:val="24"/>
        </w:rPr>
      </w:pPr>
      <w:r>
        <w:rPr>
          <w:rFonts w:ascii="宋体" w:hAnsi="宋体" w:cs="宋体"/>
          <w:sz w:val="24"/>
          <w:szCs w:val="24"/>
        </w:rPr>
        <w:t>3.商铺（商业物业）</w:t>
      </w:r>
      <w:r>
        <w:rPr>
          <w:sz w:val="24"/>
          <w:szCs w:val="24"/>
        </w:rPr>
        <w:t>以建筑面积</w:t>
      </w:r>
      <w:r>
        <w:rPr>
          <w:rFonts w:ascii="宋体" w:hAnsi="宋体" w:cs="宋体"/>
          <w:sz w:val="24"/>
          <w:szCs w:val="24"/>
        </w:rPr>
        <w:t>㎡为计费单位，</w:t>
      </w:r>
      <w:r>
        <w:rPr>
          <w:sz w:val="24"/>
          <w:szCs w:val="24"/>
        </w:rPr>
        <w:t>按业主专有或独占使用的建筑面积计算应付物业管理服务费，计费标准为</w:t>
      </w:r>
      <w:r>
        <w:rPr>
          <w:sz w:val="24"/>
          <w:szCs w:val="24"/>
          <w:u w:val="single"/>
        </w:rPr>
        <w:t>3.00</w:t>
      </w:r>
      <w:r>
        <w:rPr>
          <w:sz w:val="24"/>
          <w:szCs w:val="24"/>
        </w:rPr>
        <w:t>元/㎡/月。</w:t>
      </w:r>
    </w:p>
    <w:p>
      <w:pPr>
        <w:spacing w:line="360" w:lineRule="auto"/>
        <w:ind w:firstLine="480" w:firstLineChars="200"/>
        <w:rPr>
          <w:rFonts w:ascii="宋体" w:hAnsi="宋体" w:cs="宋体"/>
          <w:sz w:val="24"/>
          <w:szCs w:val="24"/>
        </w:rPr>
      </w:pPr>
      <w:r>
        <w:rPr>
          <w:rFonts w:ascii="宋体" w:hAnsi="宋体" w:cs="宋体"/>
          <w:sz w:val="24"/>
          <w:szCs w:val="24"/>
        </w:rPr>
        <w:t>（三）代收代付费用的承担和分摊：</w:t>
      </w:r>
    </w:p>
    <w:p>
      <w:pPr>
        <w:spacing w:line="360" w:lineRule="auto"/>
        <w:ind w:firstLine="480"/>
        <w:rPr>
          <w:rFonts w:ascii="宋体" w:hAnsi="宋体" w:cs="宋体"/>
          <w:sz w:val="24"/>
          <w:szCs w:val="24"/>
        </w:rPr>
      </w:pPr>
      <w:bookmarkStart w:id="10" w:name="发文字号"/>
      <w:r>
        <w:rPr>
          <w:rFonts w:ascii="宋体" w:hAnsi="宋体" w:cs="宋体"/>
          <w:sz w:val="24"/>
          <w:szCs w:val="24"/>
        </w:rPr>
        <w:t>参照“云价〔2010〕45号”《转发广东省物价局、广东省住房和城乡建设厅关于物业服务收费管理办法的通知》，对公共设施设备的日常运行费用承担作出如下约定：</w:t>
      </w:r>
    </w:p>
    <w:p>
      <w:pPr>
        <w:spacing w:line="360" w:lineRule="auto"/>
        <w:ind w:firstLine="480"/>
        <w:rPr>
          <w:rFonts w:ascii="宋体" w:hAnsi="宋体" w:cs="宋体"/>
          <w:sz w:val="24"/>
          <w:szCs w:val="24"/>
        </w:rPr>
      </w:pPr>
      <w:r>
        <w:rPr>
          <w:rFonts w:ascii="宋体" w:hAnsi="宋体" w:cs="宋体"/>
          <w:sz w:val="24"/>
          <w:szCs w:val="32"/>
        </w:rPr>
        <w:t>1.水费，污水处理费，城市垃圾处理费按相关收费标准，</w:t>
      </w:r>
    </w:p>
    <w:p>
      <w:pPr>
        <w:spacing w:line="360" w:lineRule="auto"/>
        <w:ind w:firstLine="480"/>
        <w:rPr>
          <w:rFonts w:ascii="宋体" w:hAnsi="宋体" w:cs="宋体"/>
          <w:sz w:val="24"/>
          <w:szCs w:val="24"/>
        </w:rPr>
      </w:pPr>
      <w:r>
        <w:rPr>
          <w:rFonts w:ascii="宋体" w:hAnsi="宋体" w:cs="宋体"/>
          <w:sz w:val="24"/>
          <w:szCs w:val="24"/>
        </w:rPr>
        <w:t>2.公共区域的照明电费，由小区全体业主按户分摊。如未设独立分表的，则物业管理企业按30%，全体业主按70%分摊。</w:t>
      </w:r>
    </w:p>
    <w:p>
      <w:pPr>
        <w:spacing w:line="360" w:lineRule="auto"/>
        <w:ind w:firstLine="480"/>
        <w:rPr>
          <w:rFonts w:ascii="宋体" w:hAnsi="宋体" w:cs="宋体"/>
          <w:sz w:val="24"/>
          <w:szCs w:val="24"/>
        </w:rPr>
      </w:pPr>
      <w:r>
        <w:rPr>
          <w:rFonts w:ascii="宋体" w:hAnsi="宋体" w:cs="宋体"/>
          <w:sz w:val="24"/>
          <w:szCs w:val="24"/>
        </w:rPr>
        <w:t>3.楼梯间的梯灯按月实际发生的电费由本单元住户按户分摊。</w:t>
      </w:r>
    </w:p>
    <w:p>
      <w:pPr>
        <w:spacing w:line="360" w:lineRule="auto"/>
        <w:ind w:firstLine="480"/>
        <w:rPr>
          <w:rFonts w:ascii="宋体" w:hAnsi="宋体" w:cs="宋体"/>
          <w:sz w:val="24"/>
          <w:szCs w:val="32"/>
        </w:rPr>
      </w:pPr>
      <w:r>
        <w:rPr>
          <w:rFonts w:ascii="宋体" w:hAnsi="宋体" w:cs="宋体"/>
          <w:sz w:val="24"/>
          <w:szCs w:val="24"/>
        </w:rPr>
        <w:t>4.电梯的电费</w:t>
      </w:r>
      <w:r>
        <w:rPr>
          <w:rFonts w:ascii="宋体" w:hAnsi="宋体" w:cs="宋体"/>
          <w:sz w:val="24"/>
          <w:szCs w:val="32"/>
        </w:rPr>
        <w:t>按月实际发生的电费由本单元住户按户分摊，分摊计算办法：①1楼住户不分摊；②2楼以上住户，以2楼为基数每高一层按递增1%计算。</w:t>
      </w:r>
    </w:p>
    <w:p>
      <w:pPr>
        <w:spacing w:line="360" w:lineRule="auto"/>
        <w:ind w:firstLine="480"/>
        <w:rPr>
          <w:rFonts w:ascii="宋体" w:hAnsi="宋体" w:cs="宋体"/>
          <w:sz w:val="24"/>
          <w:szCs w:val="32"/>
        </w:rPr>
      </w:pPr>
      <w:r>
        <w:rPr>
          <w:rFonts w:ascii="宋体" w:hAnsi="宋体" w:cs="宋体"/>
          <w:sz w:val="24"/>
          <w:szCs w:val="32"/>
        </w:rPr>
        <w:t xml:space="preserve"> 5.如有其他政府部门、公共事业单位摊派的费用（如城市垃圾处理费、治安管理费等），</w:t>
      </w:r>
      <w:r>
        <w:rPr>
          <w:rFonts w:hint="eastAsia" w:ascii="宋体" w:hAnsi="宋体" w:cs="宋体"/>
          <w:sz w:val="24"/>
          <w:szCs w:val="32"/>
          <w:lang w:val="en-US" w:eastAsia="zh-CN"/>
        </w:rPr>
        <w:t>乙方</w:t>
      </w:r>
      <w:r>
        <w:rPr>
          <w:rFonts w:ascii="宋体" w:hAnsi="宋体" w:cs="宋体"/>
          <w:sz w:val="24"/>
          <w:szCs w:val="32"/>
        </w:rPr>
        <w:t>可按要求进行相应的代收代付或分摊承担。</w:t>
      </w:r>
    </w:p>
    <w:p>
      <w:pPr>
        <w:spacing w:line="360" w:lineRule="auto"/>
        <w:ind w:firstLine="480"/>
        <w:rPr>
          <w:rFonts w:ascii="宋体" w:hAnsi="宋体" w:cs="宋体"/>
          <w:sz w:val="24"/>
          <w:szCs w:val="32"/>
        </w:rPr>
      </w:pPr>
      <w:r>
        <w:rPr>
          <w:rFonts w:ascii="宋体" w:hAnsi="宋体" w:cs="宋体"/>
          <w:sz w:val="24"/>
          <w:szCs w:val="32"/>
        </w:rPr>
        <w:t>6.二次供水电费向业主或物业使用人分摊收费。</w:t>
      </w:r>
    </w:p>
    <w:p>
      <w:pPr>
        <w:spacing w:line="360" w:lineRule="auto"/>
        <w:ind w:firstLine="480"/>
        <w:rPr>
          <w:rFonts w:ascii="宋体" w:hAnsi="宋体" w:cs="宋体"/>
          <w:sz w:val="24"/>
          <w:szCs w:val="32"/>
        </w:rPr>
      </w:pPr>
      <w:r>
        <w:rPr>
          <w:rFonts w:ascii="宋体" w:hAnsi="宋体" w:cs="宋体"/>
          <w:sz w:val="24"/>
          <w:szCs w:val="32"/>
        </w:rPr>
        <w:t>7.代收、代缴需向每户业主收取公共水电、二次供水费按金人民币400元。</w:t>
      </w:r>
    </w:p>
    <w:p>
      <w:pPr>
        <w:spacing w:line="360" w:lineRule="auto"/>
        <w:ind w:firstLine="480"/>
        <w:rPr>
          <w:rFonts w:ascii="宋体" w:hAnsi="宋体" w:cs="宋体"/>
          <w:sz w:val="24"/>
          <w:szCs w:val="24"/>
        </w:rPr>
      </w:pPr>
      <w:r>
        <w:rPr>
          <w:rFonts w:ascii="宋体" w:hAnsi="宋体" w:cs="宋体"/>
          <w:sz w:val="24"/>
          <w:szCs w:val="24"/>
        </w:rPr>
        <w:t>（四）其他特约服务收费标准：</w:t>
      </w:r>
    </w:p>
    <w:p>
      <w:pPr>
        <w:spacing w:line="360" w:lineRule="auto"/>
        <w:ind w:firstLine="720" w:firstLineChars="300"/>
        <w:rPr>
          <w:rFonts w:ascii="宋体" w:hAnsi="宋体" w:cs="宋体"/>
          <w:sz w:val="24"/>
          <w:szCs w:val="24"/>
        </w:rPr>
      </w:pPr>
      <w:r>
        <w:rPr>
          <w:rFonts w:ascii="宋体" w:hAnsi="宋体" w:cs="宋体"/>
          <w:sz w:val="24"/>
          <w:szCs w:val="24"/>
        </w:rPr>
        <w:t>1.室内装修保证金（押金）：毛坯房装修</w:t>
      </w:r>
      <w:r>
        <w:rPr>
          <w:rFonts w:ascii="宋体" w:hAnsi="宋体" w:cs="宋体"/>
          <w:sz w:val="24"/>
          <w:szCs w:val="24"/>
          <w:u w:val="single"/>
        </w:rPr>
        <w:t>1000</w:t>
      </w:r>
      <w:r>
        <w:rPr>
          <w:rFonts w:ascii="宋体" w:hAnsi="宋体" w:cs="宋体"/>
          <w:sz w:val="24"/>
          <w:szCs w:val="24"/>
        </w:rPr>
        <w:t>元/套，二次装修</w:t>
      </w:r>
      <w:r>
        <w:rPr>
          <w:rFonts w:ascii="宋体" w:hAnsi="宋体" w:cs="宋体"/>
          <w:sz w:val="24"/>
          <w:szCs w:val="24"/>
          <w:u w:val="single"/>
        </w:rPr>
        <w:t>2000</w:t>
      </w:r>
      <w:r>
        <w:rPr>
          <w:rFonts w:ascii="宋体" w:hAnsi="宋体" w:cs="宋体"/>
          <w:sz w:val="24"/>
          <w:szCs w:val="24"/>
        </w:rPr>
        <w:t>元/套。</w:t>
      </w:r>
    </w:p>
    <w:p>
      <w:pPr>
        <w:spacing w:line="360" w:lineRule="auto"/>
        <w:rPr>
          <w:rFonts w:ascii="宋体" w:hAnsi="宋体" w:cs="宋体"/>
          <w:sz w:val="24"/>
          <w:szCs w:val="24"/>
        </w:rPr>
      </w:pPr>
      <w:r>
        <w:rPr>
          <w:rFonts w:ascii="宋体" w:hAnsi="宋体" w:cs="宋体"/>
          <w:sz w:val="24"/>
          <w:szCs w:val="24"/>
        </w:rPr>
        <w:t xml:space="preserve">      2. 业主进行房屋装修依法应向</w:t>
      </w:r>
      <w:r>
        <w:rPr>
          <w:rFonts w:hint="eastAsia" w:ascii="宋体" w:hAnsi="宋体" w:cs="宋体"/>
          <w:sz w:val="24"/>
          <w:szCs w:val="24"/>
          <w:lang w:val="en-US" w:eastAsia="zh-CN"/>
        </w:rPr>
        <w:t>乙方</w:t>
      </w:r>
      <w:r>
        <w:rPr>
          <w:rFonts w:ascii="宋体" w:hAnsi="宋体" w:cs="宋体"/>
          <w:sz w:val="24"/>
          <w:szCs w:val="24"/>
        </w:rPr>
        <w:t>申报备案，业主装修完工自行清运垃圾和余泥渣土，经物业服务企业验收后，可退还业主。如垃圾和余泥渣土需乙方清运，由双方协商清运费用。但是，乙方按建筑面积计收取清运费的，每平方收费不得超过10元。</w:t>
      </w:r>
    </w:p>
    <w:p>
      <w:pPr>
        <w:spacing w:line="360" w:lineRule="auto"/>
        <w:ind w:firstLine="720" w:firstLineChars="300"/>
        <w:rPr>
          <w:rFonts w:ascii="宋体" w:hAnsi="宋体" w:cs="宋体"/>
          <w:sz w:val="24"/>
          <w:szCs w:val="24"/>
        </w:rPr>
      </w:pPr>
      <w:r>
        <w:rPr>
          <w:rFonts w:hint="eastAsia" w:ascii="宋体" w:hAnsi="宋体" w:cs="宋体"/>
          <w:sz w:val="24"/>
          <w:szCs w:val="24"/>
        </w:rPr>
        <w:t>3</w:t>
      </w:r>
      <w:r>
        <w:rPr>
          <w:rFonts w:ascii="宋体" w:hAnsi="宋体" w:cs="宋体"/>
          <w:sz w:val="24"/>
          <w:szCs w:val="24"/>
        </w:rPr>
        <w:t>.小区公共门禁IC卡工本费20元/张。</w:t>
      </w:r>
    </w:p>
    <w:bookmarkEnd w:id="10"/>
    <w:p>
      <w:pPr>
        <w:spacing w:line="360" w:lineRule="auto"/>
        <w:ind w:firstLine="480"/>
        <w:rPr>
          <w:rFonts w:ascii="宋体" w:hAnsi="宋体" w:cs="宋体"/>
          <w:sz w:val="24"/>
          <w:szCs w:val="24"/>
        </w:rPr>
      </w:pPr>
      <w:r>
        <w:rPr>
          <w:rFonts w:ascii="宋体" w:hAnsi="宋体" w:cs="宋体"/>
          <w:sz w:val="24"/>
          <w:szCs w:val="24"/>
        </w:rPr>
        <w:t>上述第（二）（三）项的物业管理服务收费标准不区分物业的使用状态，如未装修入住或未正常使用的停车位等空置状态的物业同样按该标准收费。</w:t>
      </w:r>
    </w:p>
    <w:p>
      <w:pPr>
        <w:spacing w:line="360" w:lineRule="auto"/>
        <w:ind w:firstLine="480"/>
        <w:rPr>
          <w:rFonts w:ascii="宋体" w:hAnsi="宋体" w:cs="宋体"/>
          <w:sz w:val="24"/>
          <w:szCs w:val="24"/>
        </w:rPr>
      </w:pPr>
      <w:r>
        <w:rPr>
          <w:rFonts w:ascii="宋体" w:hAnsi="宋体" w:cs="宋体"/>
          <w:sz w:val="24"/>
          <w:szCs w:val="24"/>
        </w:rPr>
        <w:t>其他服务收费根据市场情况由供需双方协商确定，如有法律法规规定收费标准的按相关规定执行。乙方如需调整物业管理服务收费标准，必须经本小区业主大会拥有1/2以上投票权业主支持通过方可实施。</w:t>
      </w:r>
    </w:p>
    <w:p>
      <w:pPr>
        <w:widowControl w:val="0"/>
        <w:numPr>
          <w:ilvl w:val="0"/>
          <w:numId w:val="17"/>
        </w:numPr>
        <w:spacing w:line="360" w:lineRule="auto"/>
        <w:ind w:firstLine="480" w:firstLineChars="200"/>
        <w:rPr>
          <w:rFonts w:ascii="宋体" w:hAnsi="宋体" w:cs="宋体"/>
          <w:sz w:val="24"/>
          <w:szCs w:val="24"/>
        </w:rPr>
      </w:pPr>
      <w:r>
        <w:rPr>
          <w:sz w:val="24"/>
          <w:szCs w:val="24"/>
        </w:rPr>
        <w:t>物业管理服务费的支付方式：</w:t>
      </w:r>
    </w:p>
    <w:p>
      <w:pPr>
        <w:spacing w:line="360" w:lineRule="auto"/>
        <w:rPr>
          <w:rFonts w:ascii="Arial" w:hAnsi="Arial" w:cs="Arial"/>
          <w:sz w:val="24"/>
          <w:szCs w:val="24"/>
        </w:rPr>
      </w:pPr>
      <w:r>
        <w:rPr>
          <w:sz w:val="24"/>
          <w:szCs w:val="24"/>
        </w:rPr>
        <w:t xml:space="preserve">     物业所有人或使用人以其所有物业或独占使用物业的建筑面积为计费单位（部分收费项目以物业数量为计费单位），</w:t>
      </w:r>
      <w:r>
        <w:rPr>
          <w:rFonts w:ascii="Arial" w:hAnsi="Arial" w:cs="Arial"/>
          <w:sz w:val="24"/>
          <w:szCs w:val="24"/>
        </w:rPr>
        <w:t>付款方式为：</w:t>
      </w:r>
    </w:p>
    <w:p>
      <w:pPr>
        <w:spacing w:line="360" w:lineRule="auto"/>
        <w:ind w:firstLine="480"/>
        <w:rPr>
          <w:rFonts w:ascii="宋体" w:hAnsi="宋体" w:cs="宋体"/>
          <w:sz w:val="24"/>
          <w:szCs w:val="24"/>
        </w:rPr>
      </w:pPr>
      <w:r>
        <w:rPr>
          <w:rFonts w:ascii="宋体" w:hAnsi="宋体" w:cs="宋体"/>
          <w:sz w:val="24"/>
          <w:szCs w:val="24"/>
        </w:rPr>
        <w:t>1.由业主向乙方公布的银行帐户转帐支付费用，鼓励业主方委托银行单位定期划付物业服务费等。</w:t>
      </w:r>
    </w:p>
    <w:p>
      <w:pPr>
        <w:spacing w:line="360" w:lineRule="auto"/>
        <w:ind w:firstLine="480"/>
        <w:rPr>
          <w:rFonts w:ascii="宋体" w:hAnsi="宋体" w:cs="宋体"/>
          <w:sz w:val="24"/>
          <w:szCs w:val="24"/>
        </w:rPr>
      </w:pPr>
      <w:r>
        <w:rPr>
          <w:rFonts w:ascii="宋体" w:hAnsi="宋体" w:cs="宋体"/>
          <w:sz w:val="24"/>
          <w:szCs w:val="24"/>
        </w:rPr>
        <w:t>2.由业主到乙方设置的固定收费点（物业管理服务处）付费。</w:t>
      </w:r>
    </w:p>
    <w:p>
      <w:pPr>
        <w:spacing w:line="360" w:lineRule="auto"/>
        <w:ind w:firstLine="480"/>
        <w:rPr>
          <w:rFonts w:ascii="宋体" w:hAnsi="宋体" w:cs="宋体"/>
          <w:sz w:val="24"/>
          <w:szCs w:val="24"/>
        </w:rPr>
      </w:pPr>
      <w:r>
        <w:rPr>
          <w:rFonts w:ascii="Arial" w:hAnsi="Arial" w:cs="Arial"/>
          <w:sz w:val="24"/>
          <w:szCs w:val="24"/>
        </w:rPr>
        <w:t>甲方</w:t>
      </w:r>
      <w:r>
        <w:rPr>
          <w:rFonts w:ascii="宋体" w:hAnsi="宋体" w:cs="宋体"/>
          <w:sz w:val="24"/>
          <w:szCs w:val="24"/>
        </w:rPr>
        <w:t>支持乙方根据实际情况应用更便捷的收款方式，提高工作效率方便业主付费。如业主逾期未付清应付费用的，乙方有权以逾期每日按计欠付款额的千份之3为标准加计违约金。</w:t>
      </w:r>
    </w:p>
    <w:p>
      <w:pPr>
        <w:spacing w:line="360" w:lineRule="auto"/>
        <w:ind w:firstLine="480"/>
        <w:rPr>
          <w:rFonts w:ascii="宋体" w:hAnsi="宋体" w:cs="宋体"/>
          <w:sz w:val="24"/>
          <w:szCs w:val="24"/>
        </w:rPr>
      </w:pPr>
      <w:r>
        <w:rPr>
          <w:rFonts w:ascii="宋体" w:hAnsi="宋体" w:cs="宋体"/>
          <w:sz w:val="24"/>
          <w:szCs w:val="24"/>
        </w:rPr>
        <w:t>（六）其他事宜：</w:t>
      </w:r>
    </w:p>
    <w:p>
      <w:pPr>
        <w:spacing w:line="360" w:lineRule="auto"/>
        <w:ind w:firstLine="480"/>
        <w:rPr>
          <w:rFonts w:ascii="宋体" w:hAnsi="宋体" w:cs="宋体"/>
          <w:sz w:val="24"/>
          <w:szCs w:val="24"/>
        </w:rPr>
      </w:pPr>
      <w:r>
        <w:rPr>
          <w:rFonts w:ascii="宋体" w:hAnsi="宋体" w:cs="宋体"/>
          <w:sz w:val="24"/>
          <w:szCs w:val="24"/>
        </w:rPr>
        <w:t>1、小区公共收益由</w:t>
      </w:r>
      <w:r>
        <w:rPr>
          <w:rFonts w:hint="eastAsia" w:ascii="宋体" w:hAnsi="宋体" w:cs="宋体"/>
          <w:sz w:val="24"/>
          <w:szCs w:val="24"/>
          <w:lang w:val="en-US" w:eastAsia="zh-CN"/>
        </w:rPr>
        <w:t>乙方</w:t>
      </w:r>
      <w:r>
        <w:rPr>
          <w:rFonts w:ascii="宋体" w:hAnsi="宋体" w:cs="宋体"/>
          <w:sz w:val="24"/>
          <w:szCs w:val="24"/>
        </w:rPr>
        <w:t>收取10%的管理费。</w:t>
      </w:r>
    </w:p>
    <w:p>
      <w:pPr>
        <w:spacing w:line="360" w:lineRule="auto"/>
        <w:ind w:firstLine="480"/>
        <w:rPr>
          <w:rFonts w:ascii="宋体" w:hAnsi="宋体" w:cs="宋体"/>
          <w:sz w:val="24"/>
          <w:szCs w:val="24"/>
        </w:rPr>
      </w:pPr>
      <w:r>
        <w:rPr>
          <w:rFonts w:ascii="宋体" w:hAnsi="宋体" w:cs="宋体"/>
          <w:sz w:val="24"/>
          <w:szCs w:val="24"/>
        </w:rPr>
        <w:t>2.乙方承诺进场6个月内无条件提供人民币     万元作为小区维修基金，项目、费用在业委会的监督支出（整改方案报业委会审核）。</w:t>
      </w:r>
    </w:p>
    <w:p>
      <w:pPr>
        <w:spacing w:line="360" w:lineRule="auto"/>
        <w:ind w:firstLine="480"/>
        <w:rPr>
          <w:b/>
          <w:bCs/>
          <w:sz w:val="40"/>
          <w:szCs w:val="48"/>
        </w:rPr>
      </w:pPr>
      <w:r>
        <w:rPr>
          <w:rFonts w:ascii="宋体" w:hAnsi="宋体" w:cs="宋体"/>
          <w:color w:val="FF0000"/>
          <w:sz w:val="24"/>
          <w:szCs w:val="24"/>
        </w:rPr>
        <w:t>3.物业管理服务人员（不少于）</w:t>
      </w:r>
      <w:r>
        <w:rPr>
          <w:color w:val="FF0000"/>
          <w:sz w:val="24"/>
        </w:rPr>
        <w:t>58人</w:t>
      </w:r>
      <w:r>
        <w:rPr>
          <w:rFonts w:ascii="宋体" w:hAnsi="宋体" w:cs="宋体"/>
          <w:color w:val="FF0000"/>
          <w:sz w:val="24"/>
          <w:szCs w:val="24"/>
        </w:rPr>
        <w:t>。</w:t>
      </w:r>
      <w:r>
        <w:rPr>
          <w:b/>
          <w:bCs/>
          <w:sz w:val="40"/>
          <w:szCs w:val="48"/>
        </w:rPr>
        <w:tab/>
      </w:r>
    </w:p>
    <w:p>
      <w:pPr>
        <w:spacing w:line="360" w:lineRule="auto"/>
        <w:rPr>
          <w:b/>
          <w:sz w:val="24"/>
          <w:szCs w:val="24"/>
        </w:rPr>
      </w:pPr>
      <w:r>
        <w:rPr>
          <w:b/>
          <w:sz w:val="24"/>
          <w:szCs w:val="24"/>
        </w:rPr>
        <w:t xml:space="preserve"> 第七条 甲方的权利和义务</w:t>
      </w:r>
    </w:p>
    <w:p>
      <w:pPr>
        <w:spacing w:line="360" w:lineRule="auto"/>
        <w:ind w:firstLine="480" w:firstLineChars="200"/>
        <w:rPr>
          <w:sz w:val="24"/>
          <w:szCs w:val="24"/>
        </w:rPr>
      </w:pPr>
      <w:r>
        <w:rPr>
          <w:sz w:val="24"/>
          <w:szCs w:val="24"/>
        </w:rPr>
        <w:t xml:space="preserve">    （一）监督乙方的管理活动。通过合法途径阻止乙方实施侵害业主合法权益的活动。如</w:t>
      </w:r>
      <w:r>
        <w:rPr>
          <w:rFonts w:ascii="宋体" w:hAnsi="宋体" w:cs="宋体"/>
          <w:sz w:val="24"/>
          <w:szCs w:val="24"/>
        </w:rPr>
        <w:t>因乙方管理不善或工作失误，造成重大经济损失，乙方根据法律法规应承担相应的责任，如乙方拒不负责或负责不尽数的，业委会有权（单方）提前终止合同并没收履约保证金。</w:t>
      </w:r>
    </w:p>
    <w:p>
      <w:pPr>
        <w:spacing w:line="360" w:lineRule="auto"/>
        <w:ind w:firstLine="480" w:firstLineChars="200"/>
        <w:rPr>
          <w:sz w:val="24"/>
          <w:szCs w:val="24"/>
        </w:rPr>
      </w:pPr>
      <w:r>
        <w:rPr>
          <w:sz w:val="24"/>
          <w:szCs w:val="24"/>
        </w:rPr>
        <w:t>（二）支持、协助乙方的管理、服务活动，教育、督促住户遵守管理规约。授权乙方处理违反业主规约的行为，包括责令停止违规行为、要求赔偿经济损失及支付违约金、对无故不缴交有关费用或拒不改正违规行为的责任人采取有效措施催缴、整改。</w:t>
      </w:r>
    </w:p>
    <w:p>
      <w:pPr>
        <w:spacing w:line="360" w:lineRule="auto"/>
        <w:ind w:firstLine="480" w:firstLineChars="200"/>
        <w:rPr>
          <w:sz w:val="24"/>
          <w:szCs w:val="24"/>
        </w:rPr>
      </w:pPr>
      <w:r>
        <w:rPr>
          <w:sz w:val="24"/>
          <w:szCs w:val="24"/>
        </w:rPr>
        <w:t>（三）组织业主召开业主大会通过合法决议，要求乙方配合实施决议方案。</w:t>
      </w:r>
    </w:p>
    <w:p>
      <w:pPr>
        <w:spacing w:line="360" w:lineRule="auto"/>
        <w:ind w:firstLine="480" w:firstLineChars="200"/>
        <w:rPr>
          <w:sz w:val="24"/>
          <w:szCs w:val="24"/>
        </w:rPr>
      </w:pPr>
      <w:r>
        <w:rPr>
          <w:sz w:val="24"/>
          <w:szCs w:val="24"/>
        </w:rPr>
        <w:t>（四）对乙方的管理措施提出建设性意见，但不得干涉乙方的经营管理自主权。</w:t>
      </w:r>
    </w:p>
    <w:p>
      <w:pPr>
        <w:spacing w:line="360" w:lineRule="auto"/>
        <w:ind w:firstLine="480" w:firstLineChars="200"/>
        <w:rPr>
          <w:sz w:val="24"/>
          <w:szCs w:val="24"/>
        </w:rPr>
      </w:pPr>
      <w:r>
        <w:rPr>
          <w:sz w:val="24"/>
          <w:szCs w:val="24"/>
        </w:rPr>
        <w:t>（五）要求乙方及时通传小区内发生的重要事件，了解乙方的处理方案。</w:t>
      </w:r>
    </w:p>
    <w:p>
      <w:pPr>
        <w:spacing w:line="360" w:lineRule="auto"/>
        <w:ind w:firstLine="480" w:firstLineChars="200"/>
        <w:rPr>
          <w:sz w:val="24"/>
          <w:szCs w:val="24"/>
        </w:rPr>
      </w:pPr>
      <w:r>
        <w:rPr>
          <w:sz w:val="24"/>
          <w:szCs w:val="24"/>
        </w:rPr>
        <w:t>（六）向业主和物业使用人宣传本合同内容，解释合同条款含义。引导业主和物业使用人正确行使权利，协助督促业主和物业使用人自觉履行法定责任和合同义务。</w:t>
      </w:r>
    </w:p>
    <w:p>
      <w:pPr>
        <w:spacing w:line="360" w:lineRule="auto"/>
        <w:ind w:firstLine="480" w:firstLineChars="200"/>
        <w:rPr>
          <w:sz w:val="24"/>
          <w:szCs w:val="24"/>
        </w:rPr>
      </w:pPr>
      <w:r>
        <w:rPr>
          <w:sz w:val="24"/>
          <w:szCs w:val="24"/>
        </w:rPr>
        <w:t>（七）接受业主、使用人和乙方提出的有关小区管理的建设性建议，及时做出合法决定。</w:t>
      </w:r>
    </w:p>
    <w:p>
      <w:pPr>
        <w:spacing w:line="360" w:lineRule="auto"/>
        <w:ind w:firstLine="480" w:firstLineChars="200"/>
        <w:rPr>
          <w:sz w:val="24"/>
          <w:szCs w:val="24"/>
        </w:rPr>
      </w:pPr>
      <w:r>
        <w:rPr>
          <w:sz w:val="24"/>
          <w:szCs w:val="24"/>
        </w:rPr>
        <w:t>（八）协调小区业主物业使用过程中产生的纠纷，及时介入或做出合法决定。</w:t>
      </w:r>
    </w:p>
    <w:p>
      <w:pPr>
        <w:spacing w:line="360" w:lineRule="auto"/>
        <w:rPr>
          <w:b/>
          <w:sz w:val="24"/>
          <w:szCs w:val="24"/>
        </w:rPr>
      </w:pPr>
      <w:r>
        <w:rPr>
          <w:b/>
          <w:sz w:val="24"/>
          <w:szCs w:val="24"/>
        </w:rPr>
        <w:t xml:space="preserve">    第八条  乙方的权利和义务</w:t>
      </w:r>
    </w:p>
    <w:p>
      <w:pPr>
        <w:spacing w:line="360" w:lineRule="auto"/>
        <w:ind w:firstLine="480" w:firstLineChars="200"/>
        <w:rPr>
          <w:sz w:val="24"/>
          <w:szCs w:val="24"/>
        </w:rPr>
      </w:pPr>
      <w:r>
        <w:rPr>
          <w:sz w:val="24"/>
          <w:szCs w:val="24"/>
        </w:rPr>
        <w:t>（一）根据有关法律、法规政策、业主规约的规定，制订管理制度，自主开展各项管理、经营活动。</w:t>
      </w:r>
    </w:p>
    <w:p>
      <w:pPr>
        <w:spacing w:line="360" w:lineRule="auto"/>
        <w:ind w:firstLine="480" w:firstLineChars="200"/>
        <w:rPr>
          <w:sz w:val="24"/>
          <w:szCs w:val="24"/>
        </w:rPr>
      </w:pPr>
      <w:r>
        <w:rPr>
          <w:sz w:val="24"/>
          <w:szCs w:val="24"/>
        </w:rPr>
        <w:t>（二）依约定提供各项物业管理服务。可选聘专业公司分包专项服务业务，（分包须经甲方同意）但不得将本物业管理服务委托合同整体转让给第三方。</w:t>
      </w:r>
    </w:p>
    <w:p>
      <w:pPr>
        <w:spacing w:line="360" w:lineRule="auto"/>
        <w:rPr>
          <w:sz w:val="24"/>
          <w:szCs w:val="24"/>
        </w:rPr>
      </w:pPr>
      <w:r>
        <w:rPr>
          <w:sz w:val="24"/>
          <w:szCs w:val="24"/>
        </w:rPr>
        <w:t xml:space="preserve">    （三）有义务协助政府部门开展相关工作，但不得履行行政部门职能。</w:t>
      </w:r>
    </w:p>
    <w:p>
      <w:pPr>
        <w:spacing w:line="360" w:lineRule="auto"/>
        <w:rPr>
          <w:sz w:val="24"/>
          <w:szCs w:val="24"/>
        </w:rPr>
      </w:pPr>
      <w:r>
        <w:rPr>
          <w:sz w:val="24"/>
          <w:szCs w:val="24"/>
        </w:rPr>
        <w:t xml:space="preserve">    （四）按合同约定的收费标准或法定标准明码标价收费，所有收费均需要出具收据或发票，不得无合法依据乱收费用。</w:t>
      </w:r>
    </w:p>
    <w:p>
      <w:pPr>
        <w:spacing w:line="360" w:lineRule="auto"/>
        <w:rPr>
          <w:sz w:val="24"/>
          <w:szCs w:val="24"/>
        </w:rPr>
      </w:pPr>
      <w:r>
        <w:rPr>
          <w:sz w:val="24"/>
          <w:szCs w:val="24"/>
        </w:rPr>
        <w:t xml:space="preserve">    （五）依照法律、法规、合同约定和业主规约，处理违反业主公约和物业管理法律法规的行为。</w:t>
      </w:r>
    </w:p>
    <w:p>
      <w:pPr>
        <w:spacing w:line="360" w:lineRule="auto"/>
        <w:rPr>
          <w:sz w:val="24"/>
          <w:szCs w:val="24"/>
        </w:rPr>
      </w:pPr>
      <w:r>
        <w:rPr>
          <w:sz w:val="24"/>
          <w:szCs w:val="24"/>
        </w:rPr>
        <w:t xml:space="preserve">    （六）不得擅自占用或改变公用设施和物业用房的使用性质和功能。合同终止时，应向甲方完整移交物业用房及其各类物业相关建筑图纸、物业管理档案资料，列明移交清单，并对资料保密，否则会追究乙方的一切法律责任。并退还不属</w:t>
      </w:r>
      <w:r>
        <w:rPr>
          <w:rFonts w:ascii="宋体" w:hAnsi="宋体" w:cs="宋体"/>
          <w:sz w:val="24"/>
          <w:szCs w:val="24"/>
        </w:rPr>
        <w:t>乙方的款项资金</w:t>
      </w:r>
      <w:r>
        <w:rPr>
          <w:sz w:val="24"/>
          <w:szCs w:val="24"/>
        </w:rPr>
        <w:t xml:space="preserve">。   </w:t>
      </w:r>
    </w:p>
    <w:p>
      <w:pPr>
        <w:spacing w:line="360" w:lineRule="auto"/>
        <w:rPr>
          <w:sz w:val="24"/>
          <w:szCs w:val="24"/>
        </w:rPr>
      </w:pPr>
      <w:r>
        <w:rPr>
          <w:sz w:val="24"/>
          <w:szCs w:val="24"/>
        </w:rPr>
        <w:t xml:space="preserve">    （七）接受甲方和业主的监督，听取甲方和业主有关物业管理活动的建设性意见。 小区内发生重要事件时应及时通传甲方。</w:t>
      </w:r>
    </w:p>
    <w:p>
      <w:pPr>
        <w:spacing w:line="360" w:lineRule="auto"/>
        <w:ind w:firstLine="480"/>
        <w:rPr>
          <w:sz w:val="24"/>
          <w:szCs w:val="24"/>
        </w:rPr>
      </w:pPr>
      <w:r>
        <w:rPr>
          <w:sz w:val="24"/>
          <w:szCs w:val="24"/>
        </w:rPr>
        <w:t>（八）业主间产生物业使用重大纠纷和业主或使用人不履行本合同约定的义务时，必要时请可要求甲方介入调解。</w:t>
      </w:r>
    </w:p>
    <w:p>
      <w:pPr>
        <w:spacing w:line="360" w:lineRule="auto"/>
        <w:ind w:firstLine="480"/>
        <w:rPr>
          <w:b/>
          <w:sz w:val="24"/>
          <w:szCs w:val="24"/>
        </w:rPr>
      </w:pPr>
      <w:r>
        <w:rPr>
          <w:b/>
          <w:sz w:val="24"/>
          <w:szCs w:val="24"/>
        </w:rPr>
        <w:t>第九条  物业移交与接管</w:t>
      </w:r>
    </w:p>
    <w:p>
      <w:pPr>
        <w:spacing w:line="360" w:lineRule="auto"/>
        <w:ind w:firstLine="480"/>
        <w:rPr>
          <w:rFonts w:ascii="宋体" w:hAnsi="宋体" w:cs="宋体"/>
          <w:sz w:val="24"/>
          <w:szCs w:val="24"/>
        </w:rPr>
      </w:pPr>
      <w:r>
        <w:rPr>
          <w:rFonts w:ascii="宋体" w:hAnsi="宋体" w:cs="宋体"/>
          <w:sz w:val="24"/>
          <w:szCs w:val="24"/>
        </w:rPr>
        <w:t>（一）公共部位、共用设施设备和物业管理用房的查验和交接</w:t>
      </w:r>
    </w:p>
    <w:p>
      <w:pPr>
        <w:spacing w:line="360" w:lineRule="auto"/>
        <w:ind w:firstLine="480"/>
        <w:rPr>
          <w:rFonts w:ascii="宋体" w:hAnsi="宋体" w:cs="宋体"/>
          <w:sz w:val="24"/>
          <w:szCs w:val="24"/>
        </w:rPr>
      </w:pPr>
      <w:r>
        <w:rPr>
          <w:rFonts w:ascii="宋体" w:hAnsi="宋体" w:cs="宋体"/>
          <w:sz w:val="24"/>
          <w:szCs w:val="24"/>
        </w:rPr>
        <w:t>1.查验资料移交：甲方应向原物业管理单位或开发单位交涉，要求相应单位、部门完整移交用地许可、规划文件和房屋设计图纸等文件资料和清单，共用设备设施台帐清单和安装、使用和维修记录等附属资料，项目内各专有部分业主的房产和个人信息资料，并列明移交资料清单，由双方负责人签名确认。</w:t>
      </w:r>
    </w:p>
    <w:p>
      <w:pPr>
        <w:spacing w:line="360" w:lineRule="auto"/>
        <w:ind w:firstLine="480"/>
        <w:rPr>
          <w:rFonts w:ascii="宋体" w:hAnsi="宋体" w:cs="宋体"/>
          <w:sz w:val="24"/>
          <w:szCs w:val="24"/>
        </w:rPr>
      </w:pPr>
      <w:r>
        <w:rPr>
          <w:rFonts w:ascii="宋体" w:hAnsi="宋体" w:cs="宋体"/>
          <w:sz w:val="24"/>
          <w:szCs w:val="24"/>
        </w:rPr>
        <w:t>在乙方接管进驻小区10天前，将完备的文件资料移交给乙方，方便乙方提前做好接管准备工作。双方终止合作关系时，乙方再完好移交给甲方。</w:t>
      </w:r>
    </w:p>
    <w:p>
      <w:pPr>
        <w:spacing w:line="360" w:lineRule="auto"/>
        <w:ind w:firstLine="480"/>
        <w:rPr>
          <w:rFonts w:ascii="宋体" w:hAnsi="宋体" w:cs="宋体"/>
          <w:sz w:val="24"/>
          <w:szCs w:val="24"/>
        </w:rPr>
      </w:pPr>
      <w:r>
        <w:rPr>
          <w:rFonts w:ascii="宋体" w:hAnsi="宋体" w:cs="宋体"/>
          <w:sz w:val="24"/>
          <w:szCs w:val="24"/>
        </w:rPr>
        <w:t xml:space="preserve">2.设施设备查验移交：双方应做好物业移交与接管查验工作。 </w:t>
      </w:r>
    </w:p>
    <w:p>
      <w:pPr>
        <w:spacing w:line="360" w:lineRule="auto"/>
        <w:ind w:firstLine="480"/>
        <w:rPr>
          <w:rFonts w:ascii="宋体" w:hAnsi="宋体" w:cs="宋体"/>
          <w:sz w:val="24"/>
          <w:szCs w:val="24"/>
        </w:rPr>
      </w:pPr>
      <w:r>
        <w:rPr>
          <w:rFonts w:ascii="宋体" w:hAnsi="宋体" w:cs="宋体"/>
          <w:sz w:val="24"/>
          <w:szCs w:val="24"/>
        </w:rPr>
        <w:t>3.物业管理用房移交：在乙方接管进驻小区后</w:t>
      </w:r>
      <w:r>
        <w:rPr>
          <w:rFonts w:ascii="宋体" w:hAnsi="宋体" w:cs="宋体"/>
          <w:sz w:val="24"/>
          <w:szCs w:val="24"/>
          <w:u w:val="single"/>
        </w:rPr>
        <w:t>5</w:t>
      </w:r>
      <w:r>
        <w:rPr>
          <w:rFonts w:ascii="宋体" w:hAnsi="宋体" w:cs="宋体"/>
          <w:sz w:val="24"/>
          <w:szCs w:val="24"/>
        </w:rPr>
        <w:t>天内，甲方移交符合法律法规规定标准的物业管理用房给乙方无偿使用。移交物业管理用房时，甲方应监督原使用单位结清交付前产生的水、电费和网络、电话费，协助办理必要的过户手续。</w:t>
      </w:r>
    </w:p>
    <w:p>
      <w:pPr>
        <w:spacing w:line="360" w:lineRule="auto"/>
        <w:ind w:firstLine="480"/>
        <w:rPr>
          <w:rFonts w:ascii="宋体" w:hAnsi="宋体" w:cs="宋体"/>
          <w:sz w:val="24"/>
          <w:szCs w:val="24"/>
        </w:rPr>
      </w:pPr>
      <w:r>
        <w:rPr>
          <w:rFonts w:ascii="宋体" w:hAnsi="宋体" w:cs="宋体"/>
          <w:sz w:val="24"/>
          <w:szCs w:val="24"/>
        </w:rPr>
        <w:t>如甲方提供的物业用房达不到法律法规规定标准要求，且又不能满足乙方正常开展物业管理服务活动所需用房的，由乙方按市场价租用其他房屋使用，租赁费用由业主大会承担。</w:t>
      </w:r>
    </w:p>
    <w:p>
      <w:pPr>
        <w:spacing w:line="360" w:lineRule="auto"/>
        <w:ind w:firstLine="480" w:firstLineChars="200"/>
        <w:rPr>
          <w:rFonts w:ascii="宋体" w:hAnsi="宋体" w:cs="宋体"/>
          <w:sz w:val="24"/>
          <w:szCs w:val="24"/>
        </w:rPr>
      </w:pPr>
      <w:r>
        <w:rPr>
          <w:rFonts w:ascii="宋体" w:hAnsi="宋体" w:cs="宋体"/>
          <w:sz w:val="24"/>
          <w:szCs w:val="24"/>
        </w:rPr>
        <w:t>（二）签订合同之日起</w:t>
      </w:r>
      <w:r>
        <w:rPr>
          <w:rFonts w:ascii="宋体" w:hAnsi="宋体" w:cs="宋体"/>
          <w:color w:val="000000"/>
          <w:sz w:val="24"/>
          <w:szCs w:val="24"/>
        </w:rPr>
        <w:t>6个月内</w:t>
      </w:r>
      <w:r>
        <w:rPr>
          <w:rFonts w:ascii="宋体" w:hAnsi="宋体" w:cs="宋体"/>
          <w:sz w:val="24"/>
          <w:szCs w:val="24"/>
        </w:rPr>
        <w:t>，乙方提供</w:t>
      </w:r>
      <w:r>
        <w:rPr>
          <w:rFonts w:ascii="宋体" w:hAnsi="宋体" w:cs="宋体"/>
          <w:sz w:val="24"/>
          <w:szCs w:val="24"/>
          <w:u w:val="single"/>
        </w:rPr>
        <w:t xml:space="preserve">   </w:t>
      </w:r>
      <w:r>
        <w:rPr>
          <w:rFonts w:ascii="宋体" w:hAnsi="宋体" w:cs="宋体"/>
          <w:sz w:val="24"/>
          <w:szCs w:val="24"/>
        </w:rPr>
        <w:t>万元公共维修资金，用于小区内重点的设备设施维修和绿化维护，改善小区居住环境并单位开展有关提升服务质量的各项工作。</w:t>
      </w:r>
    </w:p>
    <w:p>
      <w:pPr>
        <w:spacing w:line="360" w:lineRule="auto"/>
        <w:ind w:firstLine="480" w:firstLineChars="200"/>
        <w:rPr>
          <w:rFonts w:ascii="宋体" w:hAnsi="宋体" w:cs="宋体"/>
          <w:sz w:val="24"/>
          <w:szCs w:val="24"/>
        </w:rPr>
      </w:pPr>
      <w:r>
        <w:rPr>
          <w:rFonts w:ascii="宋体" w:hAnsi="宋体" w:cs="宋体"/>
          <w:sz w:val="24"/>
          <w:szCs w:val="24"/>
        </w:rPr>
        <w:t>（三）乙方应向甲方提供物业移交接管方面专业知识的咨询服务，组织专业人员做好接管查验工作，提前组建好本项目的物业管理服务团队，为如期顺利进驻接管小区做好充分准备，确保接管后有序、高效开展日常物业管理服务工作。</w:t>
      </w:r>
    </w:p>
    <w:p>
      <w:pPr>
        <w:widowControl w:val="0"/>
        <w:numPr>
          <w:ilvl w:val="0"/>
          <w:numId w:val="18"/>
        </w:numPr>
        <w:spacing w:line="360" w:lineRule="auto"/>
        <w:rPr>
          <w:color w:val="FF0000"/>
          <w:sz w:val="24"/>
          <w:szCs w:val="24"/>
        </w:rPr>
      </w:pPr>
      <w:r>
        <w:rPr>
          <w:rFonts w:ascii="宋体" w:hAnsi="宋体" w:cs="宋体"/>
          <w:color w:val="FF0000"/>
          <w:sz w:val="24"/>
          <w:szCs w:val="24"/>
        </w:rPr>
        <w:t>合同生效后5天内，乙方向甲方账户存入</w:t>
      </w:r>
      <w:r>
        <w:rPr>
          <w:rFonts w:hint="eastAsia" w:ascii="Arial" w:hAnsi="Arial" w:cs="Arial"/>
          <w:color w:val="FF0000"/>
          <w:sz w:val="24"/>
          <w:szCs w:val="24"/>
          <w:lang w:val="en-US" w:eastAsia="zh-CN"/>
        </w:rPr>
        <w:t>履约</w:t>
      </w:r>
      <w:r>
        <w:rPr>
          <w:rFonts w:ascii="Arial" w:hAnsi="Arial" w:cs="Arial"/>
          <w:color w:val="FF0000"/>
          <w:sz w:val="24"/>
          <w:szCs w:val="24"/>
        </w:rPr>
        <w:t>保证金</w:t>
      </w:r>
      <w:r>
        <w:rPr>
          <w:rFonts w:hint="eastAsia" w:ascii="Arial" w:hAnsi="Arial" w:cs="Arial"/>
          <w:color w:val="FF0000"/>
          <w:sz w:val="24"/>
          <w:szCs w:val="24"/>
          <w:lang w:val="en-US" w:eastAsia="zh-CN"/>
        </w:rPr>
        <w:t>人民币</w:t>
      </w:r>
      <w:r>
        <w:rPr>
          <w:rFonts w:hint="eastAsia" w:ascii="宋体" w:hAnsi="宋体" w:cs="宋体"/>
          <w:color w:val="FF0000"/>
          <w:sz w:val="24"/>
          <w:szCs w:val="24"/>
          <w:lang w:val="en-US" w:eastAsia="zh-CN"/>
        </w:rPr>
        <w:t>壹拾</w:t>
      </w:r>
      <w:r>
        <w:rPr>
          <w:rFonts w:ascii="宋体" w:hAnsi="宋体" w:cs="宋体"/>
          <w:color w:val="FF0000"/>
          <w:sz w:val="24"/>
          <w:szCs w:val="24"/>
        </w:rPr>
        <w:t>万元</w:t>
      </w:r>
      <w:r>
        <w:rPr>
          <w:rFonts w:hint="eastAsia" w:ascii="宋体" w:hAnsi="宋体" w:cs="宋体"/>
          <w:color w:val="FF0000"/>
          <w:sz w:val="24"/>
          <w:szCs w:val="24"/>
          <w:lang w:val="en-US" w:eastAsia="zh-CN"/>
        </w:rPr>
        <w:t>整</w:t>
      </w:r>
      <w:r>
        <w:rPr>
          <w:rFonts w:ascii="宋体" w:hAnsi="宋体" w:cs="宋体"/>
          <w:color w:val="FF0000"/>
          <w:sz w:val="24"/>
          <w:szCs w:val="24"/>
        </w:rPr>
        <w:t>（¥10</w:t>
      </w:r>
      <w:r>
        <w:rPr>
          <w:rFonts w:hint="eastAsia" w:ascii="宋体" w:hAnsi="宋体" w:cs="宋体"/>
          <w:color w:val="FF0000"/>
          <w:sz w:val="24"/>
          <w:szCs w:val="24"/>
          <w:lang w:val="en-US" w:eastAsia="zh-CN"/>
        </w:rPr>
        <w:t>0,000.00</w:t>
      </w:r>
      <w:r>
        <w:rPr>
          <w:rFonts w:ascii="宋体" w:hAnsi="宋体" w:cs="宋体"/>
          <w:color w:val="FF0000"/>
          <w:sz w:val="24"/>
          <w:szCs w:val="24"/>
        </w:rPr>
        <w:t xml:space="preserve">元）。  </w:t>
      </w:r>
    </w:p>
    <w:p>
      <w:pPr>
        <w:spacing w:line="360" w:lineRule="auto"/>
        <w:rPr>
          <w:sz w:val="24"/>
          <w:szCs w:val="24"/>
        </w:rPr>
      </w:pPr>
      <w:r>
        <w:rPr>
          <w:rFonts w:ascii="宋体" w:hAnsi="宋体" w:cs="宋体"/>
          <w:color w:val="FF0000"/>
          <w:sz w:val="24"/>
          <w:szCs w:val="24"/>
        </w:rPr>
        <w:t xml:space="preserve">   合同期满且乙方正常移交离场后5个工作日内，甲方向乙方无息返还原额或余额。</w:t>
      </w:r>
    </w:p>
    <w:p>
      <w:pPr>
        <w:spacing w:line="360" w:lineRule="auto"/>
        <w:rPr>
          <w:rFonts w:ascii="Arial" w:hAnsi="Arial" w:cs="Arial"/>
          <w:b/>
          <w:sz w:val="24"/>
          <w:szCs w:val="24"/>
        </w:rPr>
      </w:pPr>
      <w:r>
        <w:rPr>
          <w:rFonts w:ascii="Arial" w:hAnsi="Arial" w:cs="Arial"/>
          <w:b/>
          <w:sz w:val="24"/>
          <w:szCs w:val="24"/>
        </w:rPr>
        <w:t xml:space="preserve">    第十条  合同的变更和终止</w:t>
      </w:r>
    </w:p>
    <w:p>
      <w:pPr>
        <w:spacing w:line="360" w:lineRule="auto"/>
        <w:ind w:firstLine="480" w:firstLineChars="200"/>
        <w:rPr>
          <w:rFonts w:ascii="Arial" w:hAnsi="Arial" w:cs="Arial"/>
          <w:sz w:val="24"/>
          <w:szCs w:val="24"/>
        </w:rPr>
      </w:pPr>
      <w:r>
        <w:rPr>
          <w:rFonts w:ascii="Arial" w:hAnsi="Arial" w:cs="Arial"/>
          <w:sz w:val="24"/>
          <w:szCs w:val="24"/>
        </w:rPr>
        <w:t>（一）在合同的有效期间，经甲、乙双方同意，可提高物业管理服务标准。变更合同期限和物业服务费标准的，需经业主大会同意后方可变更。</w:t>
      </w:r>
    </w:p>
    <w:p>
      <w:pPr>
        <w:spacing w:line="360" w:lineRule="auto"/>
        <w:ind w:firstLine="480" w:firstLineChars="200"/>
        <w:rPr>
          <w:rFonts w:ascii="宋体" w:hAnsi="宋体" w:cs="宋体"/>
          <w:sz w:val="24"/>
          <w:szCs w:val="24"/>
        </w:rPr>
      </w:pPr>
      <w:r>
        <w:rPr>
          <w:rFonts w:ascii="Arial" w:hAnsi="Arial" w:cs="Arial"/>
          <w:sz w:val="24"/>
          <w:szCs w:val="24"/>
        </w:rPr>
        <w:t>（二）合同自期限届满时终止。甲方</w:t>
      </w:r>
      <w:r>
        <w:rPr>
          <w:rFonts w:ascii="宋体" w:hAnsi="宋体" w:cs="宋体"/>
          <w:sz w:val="24"/>
          <w:szCs w:val="24"/>
        </w:rPr>
        <w:t>应于合同期限届满三个月前，向乙方提出是否续约的意见。同等条件下，乙方拥有优先权。</w:t>
      </w:r>
    </w:p>
    <w:p>
      <w:pPr>
        <w:spacing w:line="360" w:lineRule="auto"/>
        <w:ind w:firstLine="480" w:firstLineChars="200"/>
        <w:rPr>
          <w:rFonts w:ascii="宋体" w:hAnsi="宋体" w:cs="宋体"/>
          <w:sz w:val="24"/>
          <w:szCs w:val="24"/>
        </w:rPr>
      </w:pPr>
      <w:r>
        <w:rPr>
          <w:rFonts w:ascii="宋体" w:hAnsi="宋体" w:cs="宋体"/>
          <w:sz w:val="24"/>
          <w:szCs w:val="24"/>
        </w:rPr>
        <w:t>（三）因乙方管理不善或工作失误，造成重大经济损失，乙方根据法律法规应承担相应的责任，如乙方拒不负责或负责不尽数的，业委会有权（单方）提前终止合同并没收履约保证金。</w:t>
      </w:r>
    </w:p>
    <w:p>
      <w:pPr>
        <w:spacing w:line="360" w:lineRule="auto"/>
        <w:ind w:firstLine="480" w:firstLineChars="200"/>
        <w:rPr>
          <w:rFonts w:ascii="宋体" w:hAnsi="宋体" w:cs="宋体"/>
          <w:sz w:val="24"/>
          <w:szCs w:val="24"/>
        </w:rPr>
      </w:pPr>
      <w:r>
        <w:rPr>
          <w:rFonts w:ascii="宋体" w:hAnsi="宋体" w:cs="宋体"/>
          <w:sz w:val="24"/>
          <w:szCs w:val="24"/>
        </w:rPr>
        <w:t>（四）因政府行为和自然灾害等不可抗力事件，导致本合同无法继续履行的，可提前终止合同，并依法依理处置双方责任、权利等事项。</w:t>
      </w:r>
    </w:p>
    <w:p>
      <w:pPr>
        <w:spacing w:line="360" w:lineRule="auto"/>
        <w:ind w:firstLine="482" w:firstLineChars="200"/>
        <w:rPr>
          <w:rFonts w:ascii="Arial" w:hAnsi="Arial" w:cs="Arial"/>
          <w:b/>
          <w:sz w:val="24"/>
          <w:szCs w:val="24"/>
        </w:rPr>
      </w:pPr>
      <w:r>
        <w:rPr>
          <w:rFonts w:ascii="Arial" w:hAnsi="Arial" w:cs="Arial"/>
          <w:b/>
          <w:sz w:val="24"/>
          <w:szCs w:val="24"/>
        </w:rPr>
        <w:t>第十一条  违约责任</w:t>
      </w:r>
    </w:p>
    <w:p>
      <w:pPr>
        <w:spacing w:line="360" w:lineRule="auto"/>
        <w:ind w:firstLine="480" w:firstLineChars="200"/>
        <w:rPr>
          <w:rFonts w:ascii="宋体" w:hAnsi="宋体" w:cs="宋体"/>
          <w:sz w:val="24"/>
          <w:szCs w:val="24"/>
        </w:rPr>
      </w:pPr>
      <w:r>
        <w:rPr>
          <w:rFonts w:ascii="宋体" w:hAnsi="宋体" w:cs="宋体"/>
          <w:sz w:val="24"/>
          <w:szCs w:val="24"/>
        </w:rPr>
        <w:t>1.甲方违反约定致乙方未完成（达到）约定的管理服务目标，乙方不承担违约责任并有权要求甲方在合理的期限内解决。逾期未解决的，乙方有权终止合同并要求甲方赔偿损失。</w:t>
      </w:r>
    </w:p>
    <w:p>
      <w:pPr>
        <w:spacing w:line="360" w:lineRule="auto"/>
        <w:ind w:firstLine="480" w:firstLineChars="200"/>
        <w:rPr>
          <w:rFonts w:ascii="宋体" w:hAnsi="宋体" w:cs="宋体"/>
          <w:sz w:val="24"/>
          <w:szCs w:val="24"/>
        </w:rPr>
      </w:pPr>
      <w:r>
        <w:rPr>
          <w:rFonts w:ascii="宋体" w:hAnsi="宋体" w:cs="宋体"/>
          <w:sz w:val="24"/>
          <w:szCs w:val="24"/>
        </w:rPr>
        <w:t>2.因乙方管理不善致未能实现约定的管理目标的，甲方有权要求乙方在合理的期限内进行有效整改。经两次以上整改仍未达标的，甲方有权终止合同并没收履约保证金。</w:t>
      </w:r>
    </w:p>
    <w:p>
      <w:pPr>
        <w:spacing w:line="360" w:lineRule="auto"/>
        <w:ind w:firstLine="480" w:firstLineChars="200"/>
        <w:rPr>
          <w:rFonts w:ascii="宋体" w:hAnsi="宋体" w:cs="宋体"/>
          <w:sz w:val="24"/>
          <w:szCs w:val="24"/>
        </w:rPr>
      </w:pPr>
      <w:r>
        <w:rPr>
          <w:rFonts w:ascii="宋体" w:hAnsi="宋体" w:cs="宋体"/>
          <w:sz w:val="24"/>
          <w:szCs w:val="24"/>
        </w:rPr>
        <w:t>3.乙方违反约定擅自提高收费标准或无合法依据增加其他收费名目的，甲方有权要求乙方立即整改并清退违约多收的全部款额并予以警告或定额性罚款。乙方拒不整改的，甲方有权终止合同并没收履约保证金。</w:t>
      </w:r>
    </w:p>
    <w:p>
      <w:pPr>
        <w:spacing w:line="360" w:lineRule="auto"/>
        <w:ind w:firstLine="480" w:firstLineChars="200"/>
        <w:rPr>
          <w:rFonts w:ascii="Arial" w:hAnsi="Arial" w:cs="Arial"/>
          <w:sz w:val="24"/>
          <w:szCs w:val="24"/>
        </w:rPr>
      </w:pPr>
      <w:r>
        <w:rPr>
          <w:rFonts w:ascii="宋体" w:hAnsi="宋体" w:cs="宋体"/>
          <w:sz w:val="24"/>
          <w:szCs w:val="24"/>
        </w:rPr>
        <w:t>4.但因乙方违反合同约定义务造成甲方、业主或物业使用人经济损失的，乙方应根据政府部门的鉴定结</w:t>
      </w:r>
      <w:r>
        <w:rPr>
          <w:rFonts w:ascii="Arial" w:hAnsi="Arial" w:cs="Arial"/>
          <w:sz w:val="24"/>
          <w:szCs w:val="24"/>
        </w:rPr>
        <w:t>论或人民法院的裁决结果承担相应的法律责任。</w:t>
      </w:r>
    </w:p>
    <w:p>
      <w:pPr>
        <w:spacing w:line="360" w:lineRule="auto"/>
        <w:ind w:firstLine="241" w:firstLineChars="100"/>
        <w:rPr>
          <w:rFonts w:ascii="Arial" w:hAnsi="Arial" w:cs="Arial"/>
          <w:b/>
          <w:sz w:val="24"/>
          <w:szCs w:val="24"/>
        </w:rPr>
      </w:pPr>
      <w:r>
        <w:rPr>
          <w:rFonts w:ascii="Arial" w:hAnsi="Arial" w:cs="Arial"/>
          <w:b/>
          <w:sz w:val="24"/>
          <w:szCs w:val="24"/>
        </w:rPr>
        <w:t xml:space="preserve">  第十二条  其他事项</w:t>
      </w:r>
    </w:p>
    <w:p>
      <w:pPr>
        <w:spacing w:line="360" w:lineRule="auto"/>
        <w:ind w:firstLine="480" w:firstLineChars="200"/>
        <w:rPr>
          <w:rFonts w:ascii="Arial" w:hAnsi="Arial" w:cs="Arial"/>
          <w:sz w:val="24"/>
          <w:szCs w:val="24"/>
        </w:rPr>
      </w:pPr>
      <w:r>
        <w:rPr>
          <w:rFonts w:ascii="Arial" w:hAnsi="Arial" w:cs="Arial"/>
          <w:sz w:val="24"/>
          <w:szCs w:val="24"/>
        </w:rPr>
        <w:t>1、乙方在服务期内的一切安全责任由乙方负责。</w:t>
      </w:r>
    </w:p>
    <w:p>
      <w:pPr>
        <w:spacing w:line="360" w:lineRule="auto"/>
        <w:ind w:firstLine="480" w:firstLineChars="200"/>
        <w:rPr>
          <w:rFonts w:ascii="Arial" w:hAnsi="Arial" w:cs="Arial"/>
          <w:sz w:val="24"/>
          <w:szCs w:val="24"/>
        </w:rPr>
      </w:pPr>
      <w:r>
        <w:rPr>
          <w:rFonts w:ascii="Arial" w:hAnsi="Arial" w:cs="Arial"/>
          <w:sz w:val="24"/>
          <w:szCs w:val="24"/>
        </w:rPr>
        <w:t>2、乙方提供的服务不符合采购文件、磋商文件或本合同规定的，甲方有权拒收，并且乙方须向甲方支付</w:t>
      </w:r>
      <w:r>
        <w:rPr>
          <w:rFonts w:hint="eastAsia" w:ascii="Arial" w:hAnsi="Arial" w:cs="Arial"/>
          <w:sz w:val="24"/>
          <w:szCs w:val="24"/>
        </w:rPr>
        <w:t>履约</w:t>
      </w:r>
      <w:r>
        <w:rPr>
          <w:rFonts w:ascii="Arial" w:hAnsi="Arial" w:cs="Arial"/>
          <w:sz w:val="24"/>
          <w:szCs w:val="24"/>
        </w:rPr>
        <w:t>保证金的5%作为违约金。</w:t>
      </w:r>
    </w:p>
    <w:p>
      <w:pPr>
        <w:spacing w:line="360" w:lineRule="auto"/>
        <w:ind w:firstLine="480" w:firstLineChars="200"/>
        <w:rPr>
          <w:rFonts w:ascii="Arial" w:hAnsi="Arial" w:cs="Arial"/>
          <w:sz w:val="24"/>
          <w:szCs w:val="24"/>
        </w:rPr>
      </w:pPr>
      <w:r>
        <w:rPr>
          <w:rFonts w:ascii="Arial" w:hAnsi="Arial" w:cs="Arial"/>
          <w:sz w:val="24"/>
          <w:szCs w:val="24"/>
        </w:rPr>
        <w:t>3、乙方未能按本合同规定的交接时间提供服务，从逾期之日起每日按</w:t>
      </w:r>
      <w:r>
        <w:rPr>
          <w:rFonts w:hint="eastAsia" w:ascii="Arial" w:hAnsi="Arial" w:cs="Arial"/>
          <w:sz w:val="24"/>
          <w:szCs w:val="24"/>
        </w:rPr>
        <w:t>履约保证金</w:t>
      </w:r>
      <w:r>
        <w:rPr>
          <w:rFonts w:ascii="Arial" w:hAnsi="Arial" w:cs="Arial"/>
          <w:sz w:val="24"/>
          <w:szCs w:val="24"/>
        </w:rPr>
        <w:t>保证金的5%的数额向甲方支付违约金；逾期5天以上的，甲方有权终止合同，并有权没收</w:t>
      </w:r>
      <w:r>
        <w:rPr>
          <w:rFonts w:hint="eastAsia" w:ascii="Arial" w:hAnsi="Arial" w:cs="Arial"/>
          <w:sz w:val="24"/>
          <w:szCs w:val="24"/>
        </w:rPr>
        <w:t>履约</w:t>
      </w:r>
      <w:r>
        <w:rPr>
          <w:rFonts w:ascii="Arial" w:hAnsi="Arial" w:cs="Arial"/>
          <w:sz w:val="24"/>
          <w:szCs w:val="24"/>
        </w:rPr>
        <w:t>保证金。</w:t>
      </w:r>
    </w:p>
    <w:p>
      <w:pPr>
        <w:spacing w:line="360" w:lineRule="auto"/>
        <w:ind w:firstLine="480" w:firstLineChars="200"/>
        <w:rPr>
          <w:rFonts w:ascii="Arial" w:hAnsi="Arial" w:cs="Arial"/>
          <w:sz w:val="24"/>
          <w:szCs w:val="24"/>
        </w:rPr>
      </w:pPr>
      <w:r>
        <w:rPr>
          <w:rFonts w:ascii="Arial" w:hAnsi="Arial" w:cs="Arial"/>
          <w:sz w:val="24"/>
          <w:szCs w:val="24"/>
        </w:rPr>
        <w:t>4、甲方无正当理由拒收接受服务，到期拒履行服务项目的，甲方向乙方偿付</w:t>
      </w:r>
      <w:r>
        <w:rPr>
          <w:rFonts w:hint="eastAsia" w:ascii="Arial" w:hAnsi="Arial" w:cs="Arial"/>
          <w:sz w:val="24"/>
          <w:szCs w:val="24"/>
        </w:rPr>
        <w:t>履约</w:t>
      </w:r>
      <w:r>
        <w:rPr>
          <w:rFonts w:ascii="Arial" w:hAnsi="Arial" w:cs="Arial"/>
          <w:sz w:val="24"/>
          <w:szCs w:val="24"/>
        </w:rPr>
        <w:t>保证金的5%作违约金。甲方逾期付款，则每日按</w:t>
      </w:r>
      <w:r>
        <w:rPr>
          <w:rFonts w:hint="eastAsia" w:ascii="Arial" w:hAnsi="Arial" w:cs="Arial"/>
          <w:sz w:val="24"/>
          <w:szCs w:val="24"/>
        </w:rPr>
        <w:t>履约</w:t>
      </w:r>
      <w:r>
        <w:rPr>
          <w:rFonts w:ascii="Arial" w:hAnsi="Arial" w:cs="Arial"/>
          <w:sz w:val="24"/>
          <w:szCs w:val="24"/>
        </w:rPr>
        <w:t>保证金的3‰向乙方偿付违约金，甲方5天内退回</w:t>
      </w:r>
      <w:r>
        <w:rPr>
          <w:rFonts w:hint="eastAsia" w:ascii="Arial" w:hAnsi="Arial" w:cs="Arial"/>
          <w:sz w:val="24"/>
          <w:szCs w:val="24"/>
        </w:rPr>
        <w:t>履约</w:t>
      </w:r>
      <w:r>
        <w:rPr>
          <w:rFonts w:ascii="Arial" w:hAnsi="Arial" w:cs="Arial"/>
          <w:sz w:val="24"/>
          <w:szCs w:val="24"/>
        </w:rPr>
        <w:t>保证金给乙方。</w:t>
      </w:r>
    </w:p>
    <w:p>
      <w:pPr>
        <w:spacing w:line="360" w:lineRule="auto"/>
        <w:ind w:firstLine="480" w:firstLineChars="200"/>
        <w:rPr>
          <w:rFonts w:ascii="Arial" w:hAnsi="Arial" w:cs="Arial"/>
          <w:sz w:val="24"/>
          <w:szCs w:val="24"/>
        </w:rPr>
      </w:pPr>
      <w:r>
        <w:rPr>
          <w:rFonts w:ascii="Arial" w:hAnsi="Arial" w:cs="Arial"/>
          <w:sz w:val="24"/>
          <w:szCs w:val="24"/>
        </w:rPr>
        <w:t>5、其它违约责任按《中华人民共和国合同法》处理。</w:t>
      </w:r>
    </w:p>
    <w:p>
      <w:pPr>
        <w:spacing w:line="360" w:lineRule="auto"/>
        <w:ind w:firstLine="480" w:firstLineChars="200"/>
        <w:rPr>
          <w:rFonts w:ascii="Arial" w:hAnsi="Arial" w:cs="Arial"/>
          <w:sz w:val="24"/>
          <w:szCs w:val="24"/>
        </w:rPr>
      </w:pPr>
      <w:r>
        <w:rPr>
          <w:rFonts w:ascii="Arial" w:hAnsi="Arial" w:cs="Arial"/>
          <w:sz w:val="24"/>
          <w:szCs w:val="24"/>
        </w:rPr>
        <w:t>6.为了更加明确部分合同条款原意，经双方协商同意可对本合同的条款进行更详细的补充。合同未约定的事项，遵照中华人民共和国有关法律、法规执行。</w:t>
      </w:r>
    </w:p>
    <w:p>
      <w:pPr>
        <w:spacing w:line="360" w:lineRule="auto"/>
        <w:ind w:firstLine="480" w:firstLineChars="200"/>
        <w:rPr>
          <w:rFonts w:ascii="Arial" w:hAnsi="Arial" w:cs="Arial"/>
          <w:sz w:val="24"/>
          <w:szCs w:val="24"/>
        </w:rPr>
      </w:pPr>
      <w:r>
        <w:rPr>
          <w:rFonts w:ascii="Arial" w:hAnsi="Arial" w:cs="Arial"/>
          <w:sz w:val="24"/>
          <w:szCs w:val="24"/>
        </w:rPr>
        <w:t xml:space="preserve"> 7.在合同履行中如发生争议，双方应协商解决；协商无果时，可提请物业管理行政主管部门调解也可直接依法向云浮市（云城区）人民法院提起诉讼。</w:t>
      </w:r>
    </w:p>
    <w:p>
      <w:pPr>
        <w:spacing w:line="360" w:lineRule="auto"/>
        <w:ind w:firstLine="480" w:firstLineChars="200"/>
        <w:rPr>
          <w:rFonts w:ascii="Arial" w:hAnsi="Arial" w:cs="Arial"/>
          <w:sz w:val="24"/>
          <w:szCs w:val="24"/>
        </w:rPr>
      </w:pPr>
      <w:r>
        <w:rPr>
          <w:rFonts w:ascii="Arial" w:hAnsi="Arial" w:cs="Arial"/>
          <w:sz w:val="24"/>
          <w:szCs w:val="24"/>
        </w:rPr>
        <w:t xml:space="preserve"> 8.本合同自签订之日起生效中，合同内书写部分的文字与印刷文字具有同等效力，修改无效。</w:t>
      </w:r>
    </w:p>
    <w:p>
      <w:pPr>
        <w:spacing w:line="360" w:lineRule="auto"/>
        <w:ind w:firstLine="480" w:firstLineChars="200"/>
        <w:rPr>
          <w:rFonts w:ascii="Arial" w:hAnsi="Arial" w:cs="Arial"/>
          <w:sz w:val="24"/>
          <w:szCs w:val="24"/>
        </w:rPr>
      </w:pPr>
      <w:r>
        <w:rPr>
          <w:rFonts w:ascii="Arial" w:hAnsi="Arial" w:cs="Arial"/>
          <w:sz w:val="24"/>
          <w:szCs w:val="24"/>
        </w:rPr>
        <w:t xml:space="preserve"> 本合同一式</w:t>
      </w:r>
      <w:r>
        <w:rPr>
          <w:rFonts w:hint="eastAsia" w:ascii="Arial" w:hAnsi="Arial" w:cs="Arial"/>
          <w:sz w:val="24"/>
          <w:szCs w:val="24"/>
          <w:lang w:val="en-US" w:eastAsia="zh-CN"/>
        </w:rPr>
        <w:t>六</w:t>
      </w:r>
      <w:r>
        <w:rPr>
          <w:rFonts w:ascii="Arial" w:hAnsi="Arial" w:cs="Arial"/>
          <w:sz w:val="24"/>
          <w:szCs w:val="24"/>
        </w:rPr>
        <w:t>份，甲、乙双方各执两份，</w:t>
      </w:r>
      <w:r>
        <w:rPr>
          <w:rFonts w:hint="eastAsia" w:ascii="Arial" w:hAnsi="Arial" w:cs="Arial"/>
          <w:sz w:val="24"/>
          <w:szCs w:val="24"/>
          <w:lang w:val="en-US" w:eastAsia="zh-CN"/>
        </w:rPr>
        <w:t>采购代理机构一份，</w:t>
      </w:r>
      <w:r>
        <w:rPr>
          <w:rFonts w:ascii="Arial" w:hAnsi="Arial" w:cs="Arial"/>
          <w:sz w:val="24"/>
          <w:szCs w:val="24"/>
        </w:rPr>
        <w:t>送一份物业管理行业主管部门备案，具有同等法律效力。</w:t>
      </w:r>
    </w:p>
    <w:p>
      <w:pPr>
        <w:spacing w:line="360" w:lineRule="auto"/>
        <w:rPr>
          <w:rFonts w:ascii="Arial" w:hAnsi="Arial" w:cs="Arial"/>
          <w:sz w:val="24"/>
          <w:szCs w:val="24"/>
        </w:rPr>
      </w:pPr>
    </w:p>
    <w:p>
      <w:pPr>
        <w:spacing w:line="360" w:lineRule="auto"/>
        <w:rPr>
          <w:rFonts w:ascii="Arial" w:hAnsi="Arial" w:cs="Arial"/>
          <w:sz w:val="24"/>
          <w:szCs w:val="24"/>
        </w:rPr>
      </w:pPr>
      <w:r>
        <w:rPr>
          <w:rFonts w:ascii="Arial" w:hAnsi="Arial" w:cs="Arial"/>
          <w:sz w:val="24"/>
          <w:szCs w:val="24"/>
        </w:rPr>
        <w:t>甲方（盖章）：                          乙方（盖章）：</w:t>
      </w:r>
    </w:p>
    <w:p>
      <w:pPr>
        <w:spacing w:line="360" w:lineRule="auto"/>
        <w:rPr>
          <w:rFonts w:ascii="Arial" w:hAnsi="Arial" w:cs="Arial"/>
          <w:sz w:val="24"/>
          <w:szCs w:val="24"/>
        </w:rPr>
      </w:pPr>
      <w:r>
        <w:rPr>
          <w:rFonts w:ascii="Arial" w:hAnsi="Arial" w:cs="Arial"/>
          <w:sz w:val="24"/>
          <w:szCs w:val="24"/>
        </w:rPr>
        <w:t>法定代表人（签字）：</w:t>
      </w:r>
      <w:r>
        <w:rPr>
          <w:rFonts w:ascii="宋体" w:hAnsi="宋体" w:cs="宋体"/>
          <w:b/>
          <w:bCs/>
          <w:sz w:val="24"/>
          <w:szCs w:val="24"/>
          <w:u w:val="single"/>
        </w:rPr>
        <w:t xml:space="preserve">            </w:t>
      </w:r>
      <w:r>
        <w:rPr>
          <w:rFonts w:ascii="Arial" w:hAnsi="Arial" w:cs="Arial"/>
          <w:sz w:val="24"/>
          <w:szCs w:val="24"/>
        </w:rPr>
        <w:t xml:space="preserve">        法定代表人（签字）：</w:t>
      </w:r>
      <w:r>
        <w:rPr>
          <w:rFonts w:ascii="宋体" w:hAnsi="宋体" w:cs="宋体"/>
          <w:b/>
          <w:bCs/>
          <w:sz w:val="24"/>
          <w:szCs w:val="24"/>
          <w:u w:val="single"/>
        </w:rPr>
        <w:t xml:space="preserve">               </w:t>
      </w:r>
    </w:p>
    <w:p>
      <w:pPr>
        <w:spacing w:line="360" w:lineRule="auto"/>
        <w:ind w:firstLine="241" w:firstLineChars="100"/>
      </w:pPr>
      <w:r>
        <w:rPr>
          <w:rFonts w:ascii="宋体" w:hAnsi="宋体" w:cs="宋体"/>
          <w:b/>
          <w:bCs/>
          <w:sz w:val="24"/>
          <w:szCs w:val="24"/>
          <w:u w:val="single"/>
        </w:rPr>
        <w:t xml:space="preserve">        </w:t>
      </w:r>
      <w:r>
        <w:rPr>
          <w:rFonts w:ascii="Arial" w:hAnsi="Arial" w:cs="Arial"/>
          <w:sz w:val="24"/>
          <w:szCs w:val="24"/>
        </w:rPr>
        <w:t>年</w:t>
      </w:r>
      <w:r>
        <w:rPr>
          <w:rFonts w:ascii="宋体" w:hAnsi="宋体" w:cs="宋体"/>
          <w:b/>
          <w:bCs/>
          <w:sz w:val="24"/>
          <w:szCs w:val="24"/>
          <w:u w:val="single"/>
        </w:rPr>
        <w:t xml:space="preserve">    </w:t>
      </w:r>
      <w:r>
        <w:rPr>
          <w:rFonts w:ascii="Arial" w:hAnsi="Arial" w:cs="Arial"/>
          <w:sz w:val="24"/>
          <w:szCs w:val="24"/>
        </w:rPr>
        <w:t>月</w:t>
      </w:r>
      <w:r>
        <w:rPr>
          <w:rFonts w:ascii="宋体" w:hAnsi="宋体" w:cs="宋体"/>
          <w:b/>
          <w:bCs/>
          <w:sz w:val="24"/>
          <w:szCs w:val="24"/>
          <w:u w:val="single"/>
        </w:rPr>
        <w:t xml:space="preserve">    </w:t>
      </w:r>
      <w:r>
        <w:rPr>
          <w:rFonts w:ascii="Arial" w:hAnsi="Arial" w:cs="Arial"/>
          <w:sz w:val="24"/>
          <w:szCs w:val="24"/>
        </w:rPr>
        <w:t xml:space="preserve">日                 </w:t>
      </w:r>
      <w:r>
        <w:rPr>
          <w:rFonts w:ascii="宋体" w:hAnsi="宋体" w:cs="宋体"/>
          <w:b/>
          <w:bCs/>
          <w:sz w:val="24"/>
          <w:szCs w:val="24"/>
          <w:u w:val="single"/>
        </w:rPr>
        <w:t xml:space="preserve">        </w:t>
      </w:r>
      <w:r>
        <w:rPr>
          <w:rFonts w:ascii="Arial" w:hAnsi="Arial" w:cs="Arial"/>
          <w:sz w:val="24"/>
          <w:szCs w:val="24"/>
        </w:rPr>
        <w:t>年</w:t>
      </w:r>
      <w:r>
        <w:rPr>
          <w:rFonts w:ascii="宋体" w:hAnsi="宋体" w:cs="宋体"/>
          <w:b/>
          <w:bCs/>
          <w:sz w:val="24"/>
          <w:szCs w:val="24"/>
          <w:u w:val="single"/>
        </w:rPr>
        <w:t xml:space="preserve">    </w:t>
      </w:r>
      <w:r>
        <w:rPr>
          <w:rFonts w:ascii="Arial" w:hAnsi="Arial" w:cs="Arial"/>
          <w:sz w:val="24"/>
          <w:szCs w:val="24"/>
        </w:rPr>
        <w:t>月</w:t>
      </w:r>
      <w:r>
        <w:rPr>
          <w:rFonts w:ascii="宋体" w:hAnsi="宋体" w:cs="宋体"/>
          <w:b/>
          <w:bCs/>
          <w:sz w:val="24"/>
          <w:szCs w:val="24"/>
          <w:u w:val="single"/>
        </w:rPr>
        <w:t xml:space="preserve">    </w:t>
      </w:r>
      <w:r>
        <w:rPr>
          <w:rFonts w:ascii="Arial" w:hAnsi="Arial" w:cs="Arial"/>
          <w:sz w:val="24"/>
          <w:szCs w:val="24"/>
        </w:rPr>
        <w:t xml:space="preserve">日  </w:t>
      </w:r>
    </w:p>
    <w:p>
      <w:pPr>
        <w:spacing w:line="360" w:lineRule="auto"/>
        <w:ind w:firstLine="210" w:firstLineChars="100"/>
        <w:sectPr>
          <w:footerReference r:id="rId13" w:type="default"/>
          <w:type w:val="continuous"/>
          <w:pgSz w:w="11907" w:h="16840"/>
          <w:pgMar w:top="1440" w:right="1418" w:bottom="1440" w:left="1418" w:header="851" w:footer="851" w:gutter="0"/>
          <w:pgNumType w:start="1"/>
          <w:cols w:space="720" w:num="1"/>
          <w:docGrid w:linePitch="285" w:charSpace="0"/>
        </w:sectPr>
      </w:pPr>
    </w:p>
    <w:p>
      <w:pPr>
        <w:pStyle w:val="2"/>
      </w:pPr>
    </w:p>
    <w:p>
      <w:pPr>
        <w:pStyle w:val="71"/>
        <w:spacing w:line="600" w:lineRule="exact"/>
        <w:ind w:left="178" w:leftChars="85" w:firstLine="560" w:firstLineChars="200"/>
        <w:rPr>
          <w:rFonts w:ascii="仿宋_GB2312" w:hAnsi="Tahoma" w:eastAsia="仿宋_GB2312" w:cs="Tahoma"/>
          <w:sz w:val="28"/>
          <w:szCs w:val="28"/>
        </w:rPr>
      </w:pPr>
    </w:p>
    <w:p>
      <w:pPr>
        <w:pStyle w:val="2"/>
        <w:sectPr>
          <w:type w:val="continuous"/>
          <w:pgSz w:w="11907" w:h="16840"/>
          <w:pgMar w:top="1440" w:right="1418" w:bottom="1440" w:left="1418" w:header="851" w:footer="851" w:gutter="0"/>
          <w:pgNumType w:start="1"/>
          <w:cols w:space="720" w:num="1"/>
          <w:docGrid w:linePitch="285" w:charSpace="0"/>
        </w:sectPr>
      </w:pPr>
    </w:p>
    <w:p>
      <w:pPr>
        <w:pStyle w:val="3"/>
        <w:sectPr>
          <w:footerReference r:id="rId14" w:type="default"/>
          <w:pgSz w:w="11907" w:h="16840"/>
          <w:pgMar w:top="1440" w:right="1418" w:bottom="1440" w:left="1418" w:header="851" w:footer="851" w:gutter="0"/>
          <w:pgNumType w:start="1"/>
          <w:cols w:space="720" w:num="1"/>
          <w:docGrid w:linePitch="285" w:charSpace="0"/>
        </w:sectPr>
      </w:pPr>
    </w:p>
    <w:p>
      <w:pPr>
        <w:pStyle w:val="3"/>
        <w:numPr>
          <w:ilvl w:val="0"/>
          <w:numId w:val="0"/>
        </w:numPr>
        <w:ind w:leftChars="0"/>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报 价 文 件 格 式</w:t>
      </w:r>
    </w:p>
    <w:p>
      <w:pPr>
        <w:spacing w:line="480" w:lineRule="exact"/>
        <w:jc w:val="center"/>
        <w:rPr>
          <w:rFonts w:ascii="宋体"/>
          <w:b/>
          <w:szCs w:val="21"/>
        </w:rPr>
      </w:pPr>
      <w:r>
        <w:rPr>
          <w:rFonts w:hint="eastAsia" w:ascii="宋体" w:hAnsi="宋体"/>
          <w:b/>
          <w:szCs w:val="21"/>
        </w:rPr>
        <w:t>（报价文件须编页码，且页码必须连续）</w:t>
      </w:r>
    </w:p>
    <w:p>
      <w:pPr>
        <w:spacing w:line="360" w:lineRule="auto"/>
        <w:jc w:val="center"/>
        <w:rPr>
          <w:rFonts w:ascii="宋体" w:hAnsi="宋体"/>
          <w:b/>
          <w:sz w:val="32"/>
          <w:szCs w:val="32"/>
        </w:rPr>
      </w:pPr>
      <w:r>
        <w:rPr>
          <w:rFonts w:hint="eastAsia"/>
        </w:rPr>
        <w:t xml:space="preserve">       </w:t>
      </w:r>
      <w:r>
        <w:br w:type="page"/>
      </w:r>
      <w:bookmarkStart w:id="11" w:name="_Toc202820350"/>
      <w:bookmarkStart w:id="12" w:name="_Toc202254104"/>
      <w:bookmarkStart w:id="13" w:name="_Toc202251699"/>
      <w:bookmarkStart w:id="14" w:name="_Toc202819877"/>
      <w:bookmarkStart w:id="15" w:name="_Toc202252033"/>
      <w:bookmarkStart w:id="16" w:name="_Toc202251074"/>
      <w:bookmarkStart w:id="17" w:name="_Toc202816995"/>
      <w:r>
        <w:rPr>
          <w:rFonts w:hint="eastAsia" w:ascii="宋体" w:hAnsi="宋体"/>
          <w:b/>
          <w:sz w:val="32"/>
          <w:szCs w:val="32"/>
        </w:rPr>
        <w:t>自查表</w:t>
      </w:r>
      <w:bookmarkEnd w:id="11"/>
      <w:bookmarkEnd w:id="12"/>
      <w:bookmarkEnd w:id="13"/>
      <w:bookmarkEnd w:id="14"/>
      <w:bookmarkEnd w:id="15"/>
      <w:bookmarkEnd w:id="16"/>
      <w:bookmarkEnd w:id="17"/>
    </w:p>
    <w:tbl>
      <w:tblPr>
        <w:tblStyle w:val="26"/>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磋商文件要求</w:t>
            </w:r>
            <w:r>
              <w:rPr>
                <w:rFonts w:hint="eastAsia" w:ascii="宋体" w:hAnsi="宋体" w:cs="宋体"/>
              </w:rPr>
              <w:br w:type="textWrapping"/>
            </w:r>
            <w:r>
              <w:rPr>
                <w:rFonts w:hint="eastAsia" w:ascii="宋体" w:hAnsi="宋体" w:cs="宋体"/>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szCs w:val="21"/>
              </w:rPr>
              <w:t>报价人具有独立承担民事责任能力的在中华人民共和国境内注册的法人，具有从事本项目的经营范围和能力</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bCs/>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szCs w:val="21"/>
                <w:lang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szCs w:val="21"/>
                <w:lang w:bidi="ar"/>
              </w:rPr>
            </w:pPr>
            <w:r>
              <w:rPr>
                <w:rFonts w:hint="eastAsia" w:ascii="宋体" w:hAnsi="宋体" w:cs="宋体"/>
                <w:bCs/>
                <w:szCs w:val="21"/>
              </w:rPr>
              <w:t>单位负责人为同一人或者存在直接控股、管理关系的不同供应商，不得参加同一合同项下的采购活动（以报价人完整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szCs w:val="21"/>
                <w:lang w:bidi="ar"/>
              </w:rPr>
            </w:pPr>
            <w:r>
              <w:rPr>
                <w:rFonts w:hint="eastAsia" w:ascii="宋体" w:hAnsi="宋体" w:cs="宋体"/>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szCs w:val="21"/>
              </w:rPr>
            </w:pPr>
            <w:r>
              <w:rPr>
                <w:rFonts w:hint="eastAsia" w:ascii="宋体" w:hAnsi="宋体" w:cs="宋体"/>
                <w:color w:val="FF0000"/>
                <w:szCs w:val="21"/>
              </w:rPr>
              <w:t>根据臻汇园碧湖新城住宅（A区）第二次业主大会表决结果：不予接受正为本项目提供服务的物业公司及其分公司参与本次采购事项。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符合性审查</w:t>
            </w:r>
          </w:p>
        </w:tc>
        <w:tc>
          <w:tcPr>
            <w:tcW w:w="481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bl>
    <w:p>
      <w:pPr>
        <w:pStyle w:val="11"/>
        <w:spacing w:after="0" w:line="360" w:lineRule="auto"/>
        <w:rPr>
          <w:rFonts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hAnsi="宋体"/>
          <w:sz w:val="21"/>
          <w:szCs w:val="21"/>
        </w:rPr>
      </w:pPr>
    </w:p>
    <w:p>
      <w:pPr>
        <w:adjustRightInd w:val="0"/>
        <w:snapToGrid w:val="0"/>
        <w:spacing w:line="360" w:lineRule="auto"/>
        <w:jc w:val="both"/>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type w:val="continuous"/>
          <w:pgSz w:w="11907" w:h="16840"/>
          <w:pgMar w:top="1440" w:right="1418" w:bottom="1440" w:left="1418" w:header="851" w:footer="851" w:gutter="0"/>
          <w:pgNumType w:start="1"/>
          <w:cols w:space="720" w:num="1"/>
          <w:docGrid w:linePitch="285" w:charSpace="0"/>
        </w:sectPr>
      </w:pPr>
      <w:r>
        <w:rPr>
          <w:rFonts w:hint="eastAsia" w:hAnsi="宋体"/>
          <w:szCs w:val="21"/>
        </w:rPr>
        <w:t>日期：   年   月   日</w:t>
      </w:r>
    </w:p>
    <w:p>
      <w:pPr>
        <w:spacing w:line="360" w:lineRule="auto"/>
        <w:jc w:val="center"/>
        <w:rPr>
          <w:rFonts w:ascii="宋体" w:hAnsi="宋体"/>
          <w:b/>
          <w:bCs/>
          <w:szCs w:val="21"/>
        </w:rPr>
      </w:pPr>
      <w:r>
        <w:rPr>
          <w:rFonts w:hint="eastAsia" w:ascii="宋体" w:hAnsi="宋体"/>
          <w:b/>
          <w:bCs/>
          <w:szCs w:val="21"/>
        </w:rPr>
        <w:t>1.2评审项目报价资料表</w:t>
      </w:r>
    </w:p>
    <w:tbl>
      <w:tblPr>
        <w:tblStyle w:val="26"/>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3"/>
              <w:spacing w:before="0" w:after="0" w:line="360" w:lineRule="auto"/>
              <w:rPr>
                <w:rFonts w:ascii="宋体" w:hAnsi="宋体"/>
                <w:sz w:val="21"/>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sz w:val="21"/>
          <w:szCs w:val="21"/>
        </w:rPr>
      </w:pPr>
    </w:p>
    <w:p>
      <w:pPr>
        <w:adjustRightInd w:val="0"/>
        <w:snapToGrid w:val="0"/>
        <w:spacing w:line="360" w:lineRule="auto"/>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bookmarkStart w:id="18" w:name="_Hlt10519799"/>
      <w:bookmarkEnd w:id="18"/>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outlineLvl w:val="0"/>
        <w:rPr>
          <w:b/>
          <w:sz w:val="36"/>
        </w:rPr>
      </w:pPr>
      <w:r>
        <w:rPr>
          <w:rFonts w:hint="eastAsia"/>
          <w:b/>
          <w:sz w:val="36"/>
        </w:rPr>
        <w:t>一、商 务 响 应</w:t>
      </w:r>
    </w:p>
    <w:p>
      <w:pPr>
        <w:pStyle w:val="14"/>
        <w:spacing w:line="480" w:lineRule="exact"/>
        <w:jc w:val="center"/>
        <w:rPr>
          <w:b/>
          <w:sz w:val="36"/>
        </w:rPr>
      </w:pPr>
    </w:p>
    <w:p>
      <w:pPr>
        <w:pStyle w:val="2"/>
        <w:spacing w:line="480" w:lineRule="exact"/>
        <w:rPr>
          <w:sz w:val="32"/>
          <w:szCs w:val="32"/>
        </w:rPr>
      </w:pPr>
      <w:r>
        <w:br w:type="page"/>
      </w:r>
      <w:bookmarkStart w:id="19" w:name="_Hlt10519541"/>
      <w:bookmarkEnd w:id="19"/>
      <w:bookmarkStart w:id="20" w:name="_Toc42951052"/>
      <w:bookmarkStart w:id="21" w:name="_Hlt10456257"/>
      <w:r>
        <w:rPr>
          <w:rFonts w:hint="eastAsia"/>
          <w:sz w:val="32"/>
          <w:szCs w:val="32"/>
        </w:rPr>
        <w:t>1．报价函格式</w:t>
      </w:r>
      <w:bookmarkEnd w:id="20"/>
    </w:p>
    <w:bookmarkEnd w:id="21"/>
    <w:p>
      <w:pPr>
        <w:spacing w:line="480" w:lineRule="exact"/>
        <w:jc w:val="center"/>
        <w:rPr>
          <w:rFonts w:ascii="宋体"/>
          <w:b/>
          <w:sz w:val="32"/>
        </w:rPr>
      </w:pPr>
      <w:r>
        <w:rPr>
          <w:rFonts w:hint="eastAsia" w:ascii="宋体"/>
          <w:b/>
          <w:sz w:val="32"/>
        </w:rPr>
        <w:t>报 价 函</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服务的磋商文件的全部内容，我方：</w:t>
      </w:r>
      <w:r>
        <w:rPr>
          <w:rFonts w:hint="eastAsia" w:ascii="宋体"/>
          <w:u w:val="single"/>
        </w:rPr>
        <w:t xml:space="preserve">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4"/>
        <w:spacing w:line="480" w:lineRule="exact"/>
      </w:pPr>
      <w:r>
        <w:rPr>
          <w:rFonts w:hint="eastAsia"/>
        </w:rPr>
        <w:t>一、 报价文件第一部分</w:t>
      </w:r>
    </w:p>
    <w:p>
      <w:pPr>
        <w:pStyle w:val="14"/>
        <w:spacing w:line="480" w:lineRule="exact"/>
      </w:pPr>
      <w:r>
        <w:rPr>
          <w:rFonts w:hint="eastAsia"/>
        </w:rPr>
        <w:t>（一）报价函；</w:t>
      </w:r>
    </w:p>
    <w:p>
      <w:pPr>
        <w:pStyle w:val="14"/>
        <w:spacing w:line="480" w:lineRule="exact"/>
      </w:pPr>
      <w:r>
        <w:rPr>
          <w:rFonts w:hint="eastAsia"/>
        </w:rPr>
        <w:t>（二）授权书；</w:t>
      </w:r>
    </w:p>
    <w:p>
      <w:pPr>
        <w:pStyle w:val="14"/>
        <w:spacing w:line="480" w:lineRule="exact"/>
      </w:pPr>
      <w:r>
        <w:rPr>
          <w:rFonts w:hint="eastAsia"/>
        </w:rPr>
        <w:t>（三）资格证明文件；</w:t>
      </w:r>
    </w:p>
    <w:p>
      <w:pPr>
        <w:pStyle w:val="14"/>
        <w:spacing w:line="480" w:lineRule="exact"/>
        <w:rPr>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4"/>
        <w:spacing w:line="480" w:lineRule="exact"/>
      </w:pPr>
      <w:r>
        <w:rPr>
          <w:rFonts w:hint="eastAsia"/>
        </w:rPr>
        <w:t>（五）商务响应表及差异表；</w:t>
      </w:r>
    </w:p>
    <w:p>
      <w:pPr>
        <w:pStyle w:val="14"/>
        <w:spacing w:line="480" w:lineRule="exact"/>
      </w:pPr>
      <w:r>
        <w:rPr>
          <w:rFonts w:hint="eastAsia"/>
        </w:rPr>
        <w:t>（六）按磋商文件报价人须知的要求提供的报价文件格式的其它有关文件。</w:t>
      </w:r>
    </w:p>
    <w:p>
      <w:pPr>
        <w:pStyle w:val="14"/>
        <w:spacing w:line="480" w:lineRule="exact"/>
      </w:pPr>
      <w:r>
        <w:rPr>
          <w:rFonts w:hint="eastAsia"/>
        </w:rPr>
        <w:t>三、 报价文件第三部分</w:t>
      </w:r>
    </w:p>
    <w:p>
      <w:pPr>
        <w:pStyle w:val="14"/>
        <w:spacing w:line="480" w:lineRule="exact"/>
      </w:pPr>
      <w:r>
        <w:rPr>
          <w:rFonts w:hint="eastAsia"/>
        </w:rPr>
        <w:t xml:space="preserve">     服务响应文件及差异表</w:t>
      </w:r>
    </w:p>
    <w:p>
      <w:pPr>
        <w:pStyle w:val="14"/>
        <w:spacing w:line="480" w:lineRule="exact"/>
      </w:pPr>
      <w:r>
        <w:rPr>
          <w:rFonts w:hint="eastAsia"/>
        </w:rPr>
        <w:t xml:space="preserve">     并在正本内附有相应各部分内容的电子文件一套</w:t>
      </w:r>
      <w:r>
        <w:rPr>
          <w:rFonts w:hint="eastAsia" w:hAnsi="宋体" w:cs="Tahoma"/>
          <w:b/>
          <w:bCs/>
          <w:kern w:val="28"/>
          <w:szCs w:val="21"/>
        </w:rPr>
        <w:t>（U盘形式与报价文件正本一起密封）</w:t>
      </w:r>
      <w:r>
        <w:rPr>
          <w:rFonts w:hint="eastAsia"/>
        </w:rPr>
        <w:t>。</w:t>
      </w:r>
    </w:p>
    <w:p>
      <w:pPr>
        <w:spacing w:line="480" w:lineRule="exact"/>
        <w:ind w:firstLine="570"/>
        <w:rPr>
          <w:rFonts w:ascii="宋体"/>
        </w:rPr>
      </w:pPr>
      <w:r>
        <w:rPr>
          <w:rFonts w:hint="eastAsia" w:ascii="宋体"/>
        </w:rPr>
        <w:t>我方已完全明白报价文件的所有条款要求，并重申以下几点：</w:t>
      </w:r>
    </w:p>
    <w:p>
      <w:pPr>
        <w:spacing w:line="480" w:lineRule="exact"/>
        <w:ind w:left="600" w:hanging="600"/>
        <w:rPr>
          <w:rFonts w:ascii="宋体"/>
        </w:rPr>
      </w:pPr>
      <w:r>
        <w:rPr>
          <w:rFonts w:hint="eastAsia" w:ascii="宋体"/>
        </w:rPr>
        <w:t>（一）我方决定参加：采购编号为</w:t>
      </w:r>
      <w:r>
        <w:rPr>
          <w:rFonts w:hint="eastAsia" w:ascii="宋体"/>
          <w:u w:val="single"/>
        </w:rPr>
        <w:t xml:space="preserve">  GDXJ19FCS1001  </w:t>
      </w:r>
      <w:r>
        <w:rPr>
          <w:rFonts w:hint="eastAsia" w:ascii="宋体"/>
        </w:rPr>
        <w:t>号的投标；</w:t>
      </w:r>
    </w:p>
    <w:p>
      <w:pPr>
        <w:spacing w:line="480" w:lineRule="exact"/>
        <w:ind w:left="600" w:hanging="600"/>
        <w:rPr>
          <w:rFonts w:ascii="宋体"/>
        </w:rPr>
      </w:pPr>
      <w:r>
        <w:rPr>
          <w:rFonts w:hint="eastAsia" w:ascii="宋体"/>
        </w:rPr>
        <w:t xml:space="preserve">（二）本报价文件的有效期为磋商日起的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ascii="宋体"/>
        </w:rPr>
      </w:pPr>
      <w:r>
        <w:rPr>
          <w:rFonts w:hint="eastAsia" w:ascii="宋体"/>
        </w:rPr>
        <w:t>（三）我方已详细研究了磋商文件的所有内容包括修改文件(如果有)和所有已提供的参考资料以及有关附件并完全明白,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（四） 我方明白并愿意在规定的磋商时间和日期之后,报价有效期之内撤回报价, 则报价保证金将被贵方没收。</w:t>
      </w:r>
    </w:p>
    <w:p>
      <w:pPr>
        <w:pStyle w:val="16"/>
        <w:spacing w:line="480" w:lineRule="exact"/>
        <w:ind w:left="0" w:leftChars="0"/>
      </w:pPr>
      <w:r>
        <w:rPr>
          <w:rFonts w:hint="eastAsia"/>
        </w:rPr>
        <w:t>（五） 我方同意按照贵方可能提出的要求而提供与报价有关的任何其它数据或信息。</w:t>
      </w:r>
    </w:p>
    <w:p>
      <w:pPr>
        <w:spacing w:line="480" w:lineRule="exact"/>
        <w:ind w:left="735" w:hanging="735" w:hangingChars="350"/>
        <w:rPr>
          <w:rFonts w:ascii="宋体"/>
        </w:rPr>
      </w:pPr>
      <w:r>
        <w:rPr>
          <w:rFonts w:hint="eastAsia" w:ascii="宋体"/>
        </w:rPr>
        <w:t xml:space="preserve">（六） </w:t>
      </w:r>
      <w:r>
        <w:rPr>
          <w:rFonts w:hint="eastAsia"/>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pPr>
      <w:r>
        <w:rPr>
          <w:rFonts w:hint="eastAsia"/>
        </w:rPr>
        <w:t>（七） 如我方被授予合同，由我方就本次磋商支付或将支付的服务费列于磋商文件要求的承诺书（承诺书号</w:t>
      </w:r>
      <w:r>
        <w:rPr>
          <w:rFonts w:hint="eastAsia"/>
          <w:b/>
        </w:rPr>
        <w:t>ZB</w:t>
      </w:r>
      <w:r>
        <w:rPr>
          <w:rFonts w:hint="eastAsia" w:ascii="宋体" w:hAnsi="宋体"/>
        </w:rPr>
        <w:t xml:space="preserve"> GDXJ19FCS1001</w:t>
      </w:r>
      <w:r>
        <w:rPr>
          <w:rFonts w:hint="eastAsia"/>
        </w:rPr>
        <w:t>）中。</w:t>
      </w:r>
    </w:p>
    <w:p>
      <w:pPr>
        <w:spacing w:line="480" w:lineRule="exact"/>
        <w:rPr>
          <w:rFonts w:ascii="宋体"/>
        </w:rPr>
      </w:pPr>
      <w:r>
        <w:rPr>
          <w:rFonts w:hint="eastAsia" w:ascii="宋体"/>
        </w:rPr>
        <w:t>（八） 所有与本磋商有关的函件请发往下列地址: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报价人（公章）：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报价人地址：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22" w:name="_Toc42951053"/>
      <w:r>
        <w:rPr>
          <w:rFonts w:hint="eastAsia"/>
          <w:sz w:val="32"/>
          <w:szCs w:val="32"/>
        </w:rPr>
        <w:t>2．</w:t>
      </w:r>
      <w:bookmarkEnd w:id="22"/>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4"/>
        <w:spacing w:before="240" w:after="240" w:line="360" w:lineRule="auto"/>
        <w:jc w:val="center"/>
        <w:rPr>
          <w:rFonts w:ascii="新宋体" w:hAnsi="新宋体" w:eastAsia="新宋体"/>
          <w:b/>
          <w:sz w:val="32"/>
        </w:rPr>
      </w:pPr>
      <w:r>
        <w:rPr>
          <w:rFonts w:hint="eastAsia" w:ascii="新宋体" w:hAnsi="新宋体" w:eastAsia="新宋体"/>
          <w:b/>
          <w:sz w:val="32"/>
        </w:rPr>
        <w:t>法定代表人证明书</w:t>
      </w:r>
    </w:p>
    <w:p>
      <w:pPr>
        <w:spacing w:line="360" w:lineRule="auto"/>
        <w:rPr>
          <w:rFonts w:ascii="新宋体" w:hAnsi="新宋体" w:eastAsia="新宋体"/>
          <w:b/>
          <w:szCs w:val="21"/>
        </w:rPr>
      </w:pPr>
      <w:r>
        <w:rPr>
          <w:rFonts w:hint="eastAsia" w:ascii="新宋体" w:hAnsi="新宋体" w:eastAsia="新宋体"/>
          <w:b/>
          <w:bCs/>
          <w:szCs w:val="21"/>
        </w:rPr>
        <w:t>致:广东</w:t>
      </w:r>
      <w:r>
        <w:rPr>
          <w:rFonts w:hint="eastAsia" w:ascii="新宋体" w:hAnsi="新宋体" w:eastAsia="新宋体"/>
          <w:b/>
          <w:szCs w:val="21"/>
        </w:rPr>
        <w:t>晓君招标采购代理有限公司</w:t>
      </w:r>
    </w:p>
    <w:p>
      <w:pPr>
        <w:spacing w:line="360" w:lineRule="auto"/>
        <w:rPr>
          <w:rFonts w:ascii="新宋体" w:hAnsi="新宋体" w:eastAsia="新宋体"/>
          <w:b/>
          <w:szCs w:val="21"/>
        </w:rPr>
      </w:pPr>
    </w:p>
    <w:p>
      <w:pPr>
        <w:spacing w:line="360" w:lineRule="auto"/>
        <w:rPr>
          <w:rFonts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ascii="新宋体" w:hAnsi="新宋体" w:eastAsia="新宋体"/>
          <w:szCs w:val="21"/>
        </w:rPr>
      </w:pPr>
    </w:p>
    <w:p>
      <w:pPr>
        <w:spacing w:line="360" w:lineRule="auto"/>
        <w:rPr>
          <w:rFonts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u w:val="single"/>
        </w:rPr>
        <w:t xml:space="preserve">                                                                                       </w:t>
      </w:r>
    </w:p>
    <w:p>
      <w:pPr>
        <w:spacing w:line="360" w:lineRule="auto"/>
        <w:rPr>
          <w:rFonts w:ascii="新宋体" w:hAnsi="新宋体" w:eastAsia="新宋体"/>
        </w:rPr>
      </w:pPr>
      <w:r>
        <w:rPr>
          <w:rFonts w:hint="eastAsia" w:ascii="新宋体" w:hAnsi="新宋体" w:eastAsia="新宋体"/>
        </w:rPr>
        <w:t>兼营（产）：</w:t>
      </w:r>
    </w:p>
    <w:p>
      <w:pPr>
        <w:spacing w:line="360" w:lineRule="auto"/>
        <w:rPr>
          <w:rFonts w:ascii="新宋体" w:hAnsi="新宋体" w:eastAsia="新宋体"/>
        </w:rPr>
      </w:pPr>
      <w:r>
        <w:rPr>
          <w:rFonts w:hint="eastAsia" w:ascii="新宋体" w:hAnsi="新宋体" w:eastAsia="新宋体"/>
        </w:rPr>
        <w:t>进口物品经营许可证号码：</w:t>
      </w:r>
    </w:p>
    <w:p>
      <w:pPr>
        <w:spacing w:line="360" w:lineRule="auto"/>
        <w:rPr>
          <w:rFonts w:ascii="新宋体" w:hAnsi="新宋体" w:eastAsia="新宋体"/>
        </w:rPr>
      </w:pPr>
      <w:r>
        <w:rPr>
          <w:rFonts w:hint="eastAsia" w:ascii="新宋体" w:hAnsi="新宋体" w:eastAsia="新宋体"/>
        </w:rPr>
        <w:t>主营：</w:t>
      </w:r>
    </w:p>
    <w:p>
      <w:pPr>
        <w:spacing w:line="360" w:lineRule="auto"/>
        <w:rPr>
          <w:rFonts w:ascii="新宋体" w:hAnsi="新宋体" w:eastAsia="新宋体"/>
        </w:rPr>
      </w:pPr>
      <w:r>
        <w:rPr>
          <w:rFonts w:hint="eastAsia" w:ascii="新宋体" w:hAnsi="新宋体" w:eastAsia="新宋体"/>
        </w:rPr>
        <w:t>兼营：</w:t>
      </w:r>
    </w:p>
    <w:p>
      <w:pPr>
        <w:spacing w:line="360" w:lineRule="auto"/>
        <w:rPr>
          <w:rFonts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ascii="新宋体" w:hAnsi="新宋体" w:eastAsia="新宋体"/>
        </w:rPr>
      </w:pPr>
      <w:r>
        <w:rPr>
          <w:rFonts w:hint="eastAsia" w:ascii="新宋体" w:hAnsi="新宋体" w:eastAsia="新宋体"/>
        </w:rPr>
        <w:t xml:space="preserve">                                                    报价人（公章）：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pStyle w:val="14"/>
        <w:spacing w:line="480" w:lineRule="exact"/>
        <w:jc w:val="center"/>
        <w:rPr>
          <w:b/>
          <w:sz w:val="32"/>
        </w:rPr>
      </w:pPr>
      <w:r>
        <w:rPr>
          <w:b/>
          <w:sz w:val="32"/>
        </w:rPr>
        <w:br w:type="page"/>
      </w:r>
      <w:r>
        <w:rPr>
          <w:rFonts w:hint="eastAsia"/>
          <w:b/>
          <w:sz w:val="32"/>
        </w:rPr>
        <w:t>法定代表人授权书</w:t>
      </w:r>
    </w:p>
    <w:p>
      <w:pPr>
        <w:pStyle w:val="14"/>
        <w:spacing w:line="480" w:lineRule="exact"/>
      </w:pPr>
    </w:p>
    <w:p>
      <w:pPr>
        <w:pStyle w:val="14"/>
        <w:spacing w:line="480" w:lineRule="exact"/>
        <w:rPr>
          <w:b/>
          <w:sz w:val="24"/>
        </w:rPr>
      </w:pPr>
      <w:r>
        <w:rPr>
          <w:rFonts w:hint="eastAsia"/>
          <w:b/>
          <w:sz w:val="24"/>
        </w:rPr>
        <w:t>致:广东晓君招标采购代理有限公司</w:t>
      </w:r>
    </w:p>
    <w:p>
      <w:pPr>
        <w:pStyle w:val="14"/>
        <w:spacing w:line="480" w:lineRule="exact"/>
        <w:rPr>
          <w:sz w:val="24"/>
        </w:rPr>
      </w:pPr>
    </w:p>
    <w:p>
      <w:pPr>
        <w:pStyle w:val="14"/>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项目报价[编号为：</w:t>
      </w:r>
      <w:r>
        <w:rPr>
          <w:rFonts w:hint="eastAsia"/>
          <w:u w:val="single"/>
        </w:rPr>
        <w:t xml:space="preserve">GDXJ19FCS1001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4"/>
        <w:spacing w:line="480" w:lineRule="exact"/>
      </w:pPr>
    </w:p>
    <w:p>
      <w:pPr>
        <w:pStyle w:val="14"/>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ind w:left="4599" w:leftChars="2190" w:firstLine="210" w:firstLineChars="100"/>
        <w:rPr>
          <w:rFonts w:ascii="宋体"/>
        </w:rPr>
      </w:pPr>
      <w:r>
        <w:rPr>
          <w:rFonts w:hint="eastAsia" w:ascii="宋体"/>
        </w:rPr>
        <w:t>报价人（公章）：</w:t>
      </w:r>
    </w:p>
    <w:p>
      <w:pPr>
        <w:spacing w:line="480" w:lineRule="exact"/>
        <w:ind w:left="4599" w:leftChars="2190"/>
        <w:rPr>
          <w:rFonts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ascii="宋体"/>
        </w:rPr>
      </w:pPr>
      <w:r>
        <w:rPr>
          <w:rFonts w:hint="eastAsia" w:ascii="宋体"/>
        </w:rPr>
        <w:t>法定代表人（签字）：</w:t>
      </w:r>
    </w:p>
    <w:p>
      <w:pPr>
        <w:tabs>
          <w:tab w:val="left" w:pos="3885"/>
        </w:tabs>
        <w:spacing w:line="480" w:lineRule="exact"/>
        <w:ind w:left="4704" w:leftChars="2190" w:hanging="105"/>
        <w:rPr>
          <w:rFonts w:ascii="宋体"/>
        </w:rPr>
      </w:pPr>
    </w:p>
    <w:p>
      <w:pPr>
        <w:tabs>
          <w:tab w:val="left" w:pos="3885"/>
        </w:tabs>
        <w:spacing w:line="480" w:lineRule="exact"/>
        <w:ind w:firstLine="4830" w:firstLineChars="2300"/>
        <w:rPr>
          <w:rFonts w:ascii="宋体"/>
        </w:rPr>
      </w:pPr>
      <w:r>
        <w:rPr>
          <w:rFonts w:hint="eastAsia" w:ascii="宋体"/>
        </w:rPr>
        <w:t>职        务：</w:t>
      </w:r>
    </w:p>
    <w:p>
      <w:pPr>
        <w:spacing w:line="480" w:lineRule="exact"/>
        <w:ind w:left="4599" w:leftChars="2190"/>
        <w:rPr>
          <w:rFonts w:ascii="宋体"/>
          <w:spacing w:val="20"/>
        </w:rPr>
      </w:pPr>
    </w:p>
    <w:p>
      <w:pPr>
        <w:tabs>
          <w:tab w:val="left" w:pos="2041"/>
        </w:tabs>
        <w:spacing w:line="480" w:lineRule="exact"/>
        <w:ind w:left="4599" w:leftChars="2190" w:firstLine="105" w:firstLineChars="50"/>
        <w:rPr>
          <w:rFonts w:ascii="宋体"/>
        </w:rPr>
      </w:pPr>
    </w:p>
    <w:p>
      <w:pPr>
        <w:tabs>
          <w:tab w:val="left" w:pos="2041"/>
        </w:tabs>
        <w:spacing w:line="480" w:lineRule="exact"/>
        <w:ind w:left="4599" w:leftChars="2190" w:firstLine="105" w:firstLineChars="50"/>
        <w:rPr>
          <w:rFonts w:ascii="宋体"/>
        </w:rPr>
      </w:pPr>
    </w:p>
    <w:p>
      <w:pPr>
        <w:tabs>
          <w:tab w:val="left" w:pos="2041"/>
        </w:tabs>
        <w:spacing w:line="480" w:lineRule="exact"/>
        <w:ind w:left="4599" w:leftChars="2190" w:firstLine="105" w:firstLineChars="50"/>
        <w:rPr>
          <w:rFonts w:ascii="宋体"/>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3．资格声明书格式</w:t>
      </w:r>
    </w:p>
    <w:p>
      <w:pPr>
        <w:spacing w:line="480" w:lineRule="exact"/>
        <w:rPr>
          <w:rFonts w:ascii="Arial" w:hAnsi="Arial"/>
          <w:b/>
          <w:sz w:val="24"/>
        </w:rPr>
      </w:pPr>
    </w:p>
    <w:p>
      <w:pPr>
        <w:pStyle w:val="14"/>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14"/>
        <w:spacing w:line="480" w:lineRule="exact"/>
        <w:rPr>
          <w:rFonts w:ascii="Arial" w:hAnsi="Arial"/>
        </w:rPr>
      </w:pPr>
      <w:r>
        <w:rPr>
          <w:rFonts w:hint="eastAsia" w:ascii="Arial" w:hAnsi="Arial"/>
          <w:b/>
          <w:sz w:val="24"/>
        </w:rPr>
        <w:t>致:广东晓君招标采购代理有限公司</w:t>
      </w:r>
    </w:p>
    <w:p>
      <w:pPr>
        <w:pStyle w:val="14"/>
        <w:spacing w:line="480" w:lineRule="exact"/>
        <w:rPr>
          <w:rFonts w:ascii="Arial" w:hAnsi="Arial"/>
        </w:rPr>
      </w:pPr>
    </w:p>
    <w:p>
      <w:pPr>
        <w:pStyle w:val="14"/>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4"/>
        <w:spacing w:line="480" w:lineRule="exact"/>
        <w:ind w:firstLine="420"/>
        <w:rPr>
          <w:rFonts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提供“用户需求书”中全部的相关服务，提交所有文件和全部说明是真实的和正确的。</w:t>
      </w:r>
    </w:p>
    <w:p>
      <w:pPr>
        <w:pStyle w:val="14"/>
        <w:spacing w:line="480" w:lineRule="exact"/>
        <w:ind w:firstLine="420"/>
        <w:rPr>
          <w:rFonts w:ascii="Arial" w:hAnsi="Arial"/>
        </w:rPr>
      </w:pPr>
      <w:r>
        <w:rPr>
          <w:rFonts w:hint="eastAsia" w:ascii="Arial" w:hAnsi="Arial"/>
        </w:rPr>
        <w:t>我方</w:t>
      </w:r>
      <w:r>
        <w:rPr>
          <w:rFonts w:hint="eastAsia" w:hAnsi="宋体"/>
        </w:rPr>
        <w:t>符合法律、行政法规规定的其他条件，满足招标要求。</w:t>
      </w:r>
    </w:p>
    <w:p>
      <w:pPr>
        <w:pStyle w:val="14"/>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14"/>
        <w:spacing w:line="480" w:lineRule="exact"/>
        <w:sectPr>
          <w:headerReference r:id="rId15" w:type="default"/>
          <w:footerReference r:id="rId16" w:type="default"/>
          <w:pgSz w:w="11906" w:h="16838"/>
          <w:pgMar w:top="1440" w:right="1418" w:bottom="1440" w:left="1418" w:header="851" w:footer="851" w:gutter="0"/>
          <w:cols w:space="720" w:num="1"/>
          <w:docGrid w:linePitch="312" w:charSpace="0"/>
        </w:sectPr>
      </w:pPr>
    </w:p>
    <w:p>
      <w:pPr>
        <w:tabs>
          <w:tab w:val="left" w:pos="4860"/>
        </w:tabs>
        <w:spacing w:line="588" w:lineRule="exact"/>
        <w:ind w:right="1560"/>
        <w:rPr>
          <w:rFonts w:ascii="仿宋_GB2312" w:eastAsia="仿宋_GB2312"/>
          <w:spacing w:val="6"/>
          <w:sz w:val="28"/>
          <w:szCs w:val="28"/>
        </w:rPr>
      </w:pPr>
      <w:bookmarkStart w:id="23" w:name="_Toc42951054"/>
      <w:r>
        <w:rPr>
          <w:rFonts w:hint="eastAsia" w:ascii="Arial" w:hAnsi="Arial"/>
          <w:b/>
          <w:sz w:val="32"/>
          <w:szCs w:val="32"/>
        </w:rPr>
        <w:t>4．资格证明文件格式</w:t>
      </w:r>
      <w:bookmarkEnd w:id="23"/>
    </w:p>
    <w:p>
      <w:pPr>
        <w:spacing w:line="480" w:lineRule="exact"/>
        <w:rPr>
          <w:rFonts w:ascii="宋体"/>
        </w:rPr>
      </w:pPr>
      <w:r>
        <w:rPr>
          <w:rFonts w:hint="eastAsia" w:ascii="宋体"/>
        </w:rPr>
        <w:t xml:space="preserve"> [说明]报价人应按照磋商文件的要求做出全面的响应。其内容应包括但不限于以下各项：</w:t>
      </w:r>
    </w:p>
    <w:p>
      <w:pPr>
        <w:adjustRightInd w:val="0"/>
        <w:snapToGrid w:val="0"/>
        <w:spacing w:line="360" w:lineRule="auto"/>
        <w:rPr>
          <w:rFonts w:cs="Arial"/>
        </w:rPr>
      </w:pPr>
      <w:r>
        <w:rPr>
          <w:rFonts w:hint="eastAsia" w:ascii="宋体"/>
        </w:rPr>
        <w:t xml:space="preserve"> </w:t>
      </w:r>
    </w:p>
    <w:p>
      <w:pPr>
        <w:adjustRightInd w:val="0"/>
        <w:snapToGrid w:val="0"/>
        <w:spacing w:line="360" w:lineRule="auto"/>
        <w:rPr>
          <w:rFonts w:ascii="宋体" w:hAnsi="宋体" w:cs="宋体"/>
        </w:rPr>
      </w:pPr>
      <w:r>
        <w:rPr>
          <w:rFonts w:hint="eastAsia" w:ascii="宋体" w:hAnsi="宋体" w:cs="宋体"/>
        </w:rPr>
        <w:t>4.1</w:t>
      </w:r>
      <w:r>
        <w:rPr>
          <w:rFonts w:hint="eastAsia" w:ascii="宋体" w:hAnsi="宋体" w:cs="宋体"/>
          <w:szCs w:val="21"/>
        </w:rPr>
        <w:t>报价人具有独立承担民事责任能力的在中华人民共和国境内注册的法人，具有从事本项目的经营范围和能力</w:t>
      </w:r>
    </w:p>
    <w:p>
      <w:pPr>
        <w:spacing w:line="360" w:lineRule="auto"/>
        <w:rPr>
          <w:rFonts w:ascii="宋体" w:hAnsi="宋体" w:cs="宋体"/>
        </w:rPr>
      </w:pPr>
      <w:r>
        <w:rPr>
          <w:rFonts w:hint="eastAsia" w:ascii="宋体" w:hAnsi="宋体" w:cs="宋体"/>
        </w:rPr>
        <w:t>4.2《法定代表人证明书》、《被授权人证明书》原件</w:t>
      </w:r>
    </w:p>
    <w:p>
      <w:pPr>
        <w:spacing w:line="360" w:lineRule="auto"/>
        <w:rPr>
          <w:rFonts w:ascii="宋体" w:hAnsi="宋体" w:cs="宋体"/>
        </w:rPr>
      </w:pPr>
      <w:r>
        <w:rPr>
          <w:rFonts w:hint="eastAsia" w:ascii="宋体" w:hAnsi="宋体" w:cs="宋体"/>
        </w:rPr>
        <w:t>4.3</w:t>
      </w:r>
      <w:r>
        <w:rPr>
          <w:rFonts w:hint="eastAsia" w:ascii="宋体" w:hAnsi="宋体" w:cs="宋体"/>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)查询结果以报价人提供截图并加盖公章为准，如相关失信记录已失效，报价人需提供相关证明资料。查询有效期为自本项目采购公告发出之日起至递交报价文件截止时间止）</w:t>
      </w:r>
    </w:p>
    <w:p>
      <w:pPr>
        <w:spacing w:line="360" w:lineRule="auto"/>
        <w:rPr>
          <w:rFonts w:ascii="宋体" w:hAnsi="宋体" w:cs="宋体"/>
        </w:rPr>
      </w:pPr>
      <w:r>
        <w:rPr>
          <w:rFonts w:hint="eastAsia" w:ascii="宋体" w:hAnsi="宋体" w:cs="宋体"/>
        </w:rPr>
        <w:t>4.4符合《政府采购法》第二十二条规定：</w:t>
      </w:r>
    </w:p>
    <w:p>
      <w:pPr>
        <w:pStyle w:val="24"/>
        <w:spacing w:before="0" w:beforeAutospacing="0" w:after="0" w:afterAutospacing="0" w:line="360" w:lineRule="auto"/>
        <w:ind w:left="315" w:hanging="315" w:hangingChars="150"/>
        <w:rPr>
          <w:sz w:val="21"/>
        </w:rPr>
      </w:pPr>
      <w:r>
        <w:rPr>
          <w:rFonts w:hint="eastAsia"/>
          <w:sz w:val="21"/>
        </w:rPr>
        <w:t>1）法人或者其他组织的营业执照（或三证合一证明）证明文件。</w:t>
      </w:r>
    </w:p>
    <w:p>
      <w:pPr>
        <w:pStyle w:val="24"/>
        <w:spacing w:before="0" w:beforeAutospacing="0" w:after="0" w:afterAutospacing="0" w:line="360" w:lineRule="auto"/>
        <w:ind w:left="315" w:hanging="315" w:hangingChars="150"/>
        <w:rPr>
          <w:sz w:val="21"/>
        </w:rPr>
      </w:pPr>
      <w:r>
        <w:rPr>
          <w:rFonts w:hint="eastAsia"/>
          <w:sz w:val="21"/>
        </w:rPr>
        <w:t>2）201</w:t>
      </w:r>
      <w:r>
        <w:rPr>
          <w:rFonts w:hint="eastAsia"/>
          <w:sz w:val="21"/>
          <w:lang w:val="en-US" w:eastAsia="zh-CN"/>
        </w:rPr>
        <w:t>7</w:t>
      </w:r>
      <w:r>
        <w:rPr>
          <w:rFonts w:hint="eastAsia"/>
          <w:sz w:val="21"/>
        </w:rPr>
        <w:t>年、201</w:t>
      </w:r>
      <w:r>
        <w:rPr>
          <w:rFonts w:hint="eastAsia"/>
          <w:sz w:val="21"/>
          <w:lang w:val="en-US" w:eastAsia="zh-CN"/>
        </w:rPr>
        <w:t>8</w:t>
      </w:r>
      <w:r>
        <w:rPr>
          <w:rFonts w:hint="eastAsia"/>
          <w:sz w:val="21"/>
        </w:rPr>
        <w:t>年的财务报告（提供由会计师事务所出具的审计报告）；或提供银行出具的资信证明；报价人为新注册的，提供其中任意一个月的财务状况报表复印件（提供资产负债表、利润表、现金流量表）。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sz w:val="21"/>
        </w:rPr>
      </w:pPr>
      <w:r>
        <w:rPr>
          <w:rFonts w:hint="eastAsia"/>
          <w:sz w:val="21"/>
        </w:rPr>
        <w:t>3）2018年9月-2019年2月（至少提供其中任意一个月）缴纳税收和社保的凭证。如依法免税或不需要缴纳社会保障资金的，应提供相应文件证明。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sz w:val="21"/>
        </w:rPr>
      </w:pPr>
      <w:r>
        <w:rPr>
          <w:rFonts w:hint="eastAsia"/>
          <w:sz w:val="21"/>
        </w:rPr>
        <w:t>4）提供为本项目服务的设备清单以及技术人员的名单材料。</w:t>
      </w:r>
    </w:p>
    <w:p>
      <w:pPr>
        <w:spacing w:line="360" w:lineRule="auto"/>
        <w:rPr>
          <w:rFonts w:ascii="宋体" w:hAnsi="宋体" w:cs="宋体"/>
        </w:rPr>
      </w:pPr>
      <w:r>
        <w:rPr>
          <w:rFonts w:hint="eastAsia" w:ascii="宋体" w:hAnsi="宋体" w:cs="宋体"/>
        </w:rPr>
        <w:t>5）提供参加政府采购活动前3年内在经营活动中没有重大违法记录的书面声明。</w:t>
      </w:r>
    </w:p>
    <w:p>
      <w:pPr>
        <w:spacing w:line="360" w:lineRule="auto"/>
        <w:rPr>
          <w:rFonts w:ascii="宋体" w:hAnsi="宋体" w:cs="宋体"/>
        </w:rPr>
      </w:pPr>
      <w:r>
        <w:rPr>
          <w:rFonts w:hint="eastAsia" w:ascii="宋体" w:hAnsi="宋体" w:cs="宋体"/>
        </w:rPr>
        <w:t>4.5本项目不接受联合体投标。</w:t>
      </w:r>
    </w:p>
    <w:p>
      <w:pPr>
        <w:spacing w:line="360" w:lineRule="auto"/>
        <w:rPr>
          <w:rFonts w:ascii="宋体" w:hAnsi="宋体" w:cs="宋体"/>
        </w:rPr>
      </w:pPr>
      <w:r>
        <w:rPr>
          <w:rFonts w:hint="eastAsia" w:ascii="宋体" w:hAnsi="宋体" w:cs="宋体"/>
        </w:rPr>
        <w:t>4.6为采购项目提供整体设计、规范编制或者项目管理、监理、检测等服务的供应商，不得再参加该采购项目的其他采购活动。（提供《承诺书》）。</w:t>
      </w:r>
    </w:p>
    <w:p>
      <w:pPr>
        <w:tabs>
          <w:tab w:val="left" w:pos="1260"/>
        </w:tabs>
        <w:spacing w:line="360" w:lineRule="auto"/>
        <w:rPr>
          <w:rFonts w:ascii="宋体" w:hAnsi="宋体" w:cs="宋体"/>
          <w:bCs/>
          <w:szCs w:val="21"/>
        </w:rPr>
      </w:pPr>
      <w:r>
        <w:rPr>
          <w:rFonts w:hint="eastAsia" w:ascii="宋体" w:hAnsi="宋体" w:cs="宋体"/>
        </w:rPr>
        <w:t>4.7</w:t>
      </w:r>
      <w:r>
        <w:rPr>
          <w:rFonts w:hint="eastAsia" w:ascii="宋体" w:hAnsi="宋体" w:cs="宋体"/>
          <w:bCs/>
          <w:szCs w:val="21"/>
        </w:rPr>
        <w:t>单位负责人为同一人或者存在直接控股、管理关系的不同供应商，不得参加同一合同项下的采购活动（以报价人完整提供在国家企业信用信息公示系统www.gsxt.gov.cn的查询结果页面“信息打印”内容并加盖公章为准）</w:t>
      </w:r>
    </w:p>
    <w:p>
      <w:pPr>
        <w:pStyle w:val="2"/>
        <w:rPr>
          <w:rFonts w:ascii="宋体" w:hAnsi="宋体" w:cs="宋体"/>
          <w:b w:val="0"/>
          <w:bCs w:val="0"/>
          <w:kern w:val="0"/>
          <w:sz w:val="21"/>
          <w:szCs w:val="22"/>
        </w:rPr>
      </w:pPr>
      <w:r>
        <w:rPr>
          <w:rFonts w:hint="eastAsia" w:ascii="宋体" w:hAnsi="宋体" w:cs="宋体"/>
          <w:b w:val="0"/>
          <w:bCs w:val="0"/>
          <w:kern w:val="0"/>
          <w:sz w:val="21"/>
          <w:szCs w:val="22"/>
        </w:rPr>
        <w:t xml:space="preserve">4.8 </w:t>
      </w:r>
      <w:r>
        <w:rPr>
          <w:rFonts w:hint="eastAsia" w:ascii="宋体" w:hAnsi="宋体" w:cs="宋体"/>
          <w:b w:val="0"/>
          <w:bCs w:val="0"/>
          <w:color w:val="FF0000"/>
          <w:kern w:val="0"/>
          <w:sz w:val="21"/>
          <w:szCs w:val="22"/>
        </w:rPr>
        <w:t>根据臻汇园碧湖新城住宅（A区）第二次业主大会表决结果：不予接受正为本项目提供服务的物业公司及其分公司参与本次采购事项。</w:t>
      </w:r>
    </w:p>
    <w:p>
      <w:pPr>
        <w:spacing w:line="480" w:lineRule="exact"/>
        <w:ind w:left="630" w:leftChars="100" w:hanging="420" w:hangingChars="200"/>
        <w:rPr>
          <w:rFonts w:ascii="宋体" w:hAnsi="宋体"/>
        </w:rPr>
      </w:pPr>
      <w:r>
        <w:rPr>
          <w:rFonts w:hint="eastAsia" w:ascii="宋体" w:hAnsi="宋体"/>
        </w:rPr>
        <w:t xml:space="preserve">  </w:t>
      </w:r>
    </w:p>
    <w:p>
      <w:pPr>
        <w:adjustRightInd w:val="0"/>
        <w:snapToGrid w:val="0"/>
        <w:spacing w:line="360" w:lineRule="auto"/>
        <w:ind w:left="472" w:leftChars="83" w:hanging="298" w:hangingChars="142"/>
        <w:rPr>
          <w:rFonts w:ascii="宋体"/>
        </w:rPr>
      </w:pPr>
    </w:p>
    <w:p>
      <w:pPr>
        <w:pStyle w:val="2"/>
        <w:spacing w:line="480" w:lineRule="exact"/>
        <w:rPr>
          <w:sz w:val="24"/>
          <w:szCs w:val="24"/>
        </w:rPr>
      </w:pPr>
      <w:r>
        <w:br w:type="page"/>
      </w:r>
      <w:bookmarkStart w:id="24" w:name="_Hlt10549792"/>
      <w:bookmarkEnd w:id="24"/>
      <w:r>
        <w:rPr>
          <w:rFonts w:hint="eastAsia"/>
          <w:sz w:val="32"/>
          <w:szCs w:val="32"/>
        </w:rPr>
        <w:t xml:space="preserve"> 5. 报价保证金</w:t>
      </w:r>
    </w:p>
    <w:p>
      <w:pPr>
        <w:spacing w:line="360" w:lineRule="auto"/>
        <w:rPr>
          <w:rFonts w:ascii="宋体" w:hAnsi="宋体"/>
          <w:b/>
          <w:sz w:val="24"/>
        </w:rPr>
      </w:pPr>
      <w:r>
        <w:rPr>
          <w:rFonts w:hint="eastAsia" w:ascii="宋体" w:hAnsi="宋体"/>
          <w:b/>
          <w:sz w:val="24"/>
        </w:rPr>
        <w:t>5.1 通过电汇、银行转帐形式交纳保证金格式</w:t>
      </w:r>
    </w:p>
    <w:p>
      <w:pPr>
        <w:spacing w:line="360" w:lineRule="auto"/>
        <w:rPr>
          <w:rFonts w:ascii="宋体"/>
          <w:b/>
          <w:szCs w:val="21"/>
        </w:rPr>
      </w:pPr>
      <w:r>
        <w:rPr>
          <w:rFonts w:hint="eastAsia" w:ascii="宋体"/>
          <w:b/>
          <w:szCs w:val="21"/>
        </w:rPr>
        <w:t>（1）报价保证金交纳凭证</w:t>
      </w:r>
    </w:p>
    <w:p>
      <w:pPr>
        <w:spacing w:line="360" w:lineRule="auto"/>
        <w:rPr>
          <w:rFonts w:ascii="宋体" w:hAnsi="宋体"/>
          <w:szCs w:val="21"/>
        </w:rPr>
      </w:pPr>
      <w:r>
        <w:rPr>
          <w:rFonts w:hint="eastAsia" w:ascii="宋体"/>
          <w:b/>
          <w:szCs w:val="21"/>
        </w:rPr>
        <w:t>致：广东晓君招标采购代理有限公司</w:t>
      </w: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ascii="宋体" w:hAnsi="宋体"/>
          <w:szCs w:val="21"/>
        </w:rPr>
      </w:pPr>
    </w:p>
    <w:p>
      <w:pPr>
        <w:spacing w:line="360" w:lineRule="auto"/>
        <w:rPr>
          <w:rFonts w:ascii="宋体" w:hAnsi="宋体"/>
          <w:szCs w:val="21"/>
        </w:rPr>
      </w:pPr>
      <w:r>
        <w:rPr>
          <w:rFonts w:hint="eastAsia" w:ascii="宋体" w:hAnsi="宋体"/>
          <w:szCs w:val="21"/>
        </w:rPr>
        <w:t xml:space="preserve">附： </w:t>
      </w:r>
    </w:p>
    <w:tbl>
      <w:tblPr>
        <w:tblStyle w:val="26"/>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sz w:val="32"/>
          <w:szCs w:val="32"/>
        </w:rPr>
      </w:pPr>
      <w:r>
        <w:rPr>
          <w:rFonts w:hint="eastAsia" w:ascii="宋体" w:hAnsi="宋体"/>
          <w:b/>
          <w:sz w:val="32"/>
          <w:szCs w:val="32"/>
        </w:rPr>
        <w:t>退保证金说明</w:t>
      </w:r>
    </w:p>
    <w:p>
      <w:pPr>
        <w:spacing w:line="480" w:lineRule="exact"/>
        <w:rPr>
          <w:rFonts w:ascii="宋体" w:hAnsi="宋体"/>
        </w:rPr>
      </w:pPr>
      <w:r>
        <w:rPr>
          <w:rFonts w:hint="eastAsia" w:ascii="宋体" w:hAnsi="宋体"/>
        </w:rPr>
        <w:t>致：广东晓君招标采购代理有限公司</w:t>
      </w:r>
    </w:p>
    <w:p>
      <w:pPr>
        <w:spacing w:line="480" w:lineRule="exact"/>
        <w:ind w:firstLine="420"/>
        <w:rPr>
          <w:rFonts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26"/>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4"/>
        <w:spacing w:line="480" w:lineRule="exact"/>
        <w:ind w:left="4700" w:leftChars="2238"/>
        <w:rPr>
          <w:rFonts w:hAnsi="宋体"/>
        </w:rPr>
      </w:pPr>
      <w:r>
        <w:rPr>
          <w:rFonts w:hAnsi="宋体"/>
        </w:rPr>
        <w:t>日       期：</w:t>
      </w:r>
    </w:p>
    <w:p>
      <w:pPr>
        <w:pStyle w:val="14"/>
        <w:spacing w:line="480" w:lineRule="exact"/>
        <w:rPr>
          <w:rFonts w:hAnsi="宋体"/>
        </w:rPr>
      </w:pPr>
      <w:r>
        <w:rPr>
          <w:rFonts w:hint="eastAsia" w:hAnsi="宋体"/>
          <w:u w:val="single"/>
        </w:rPr>
        <w:t xml:space="preserve">（ 以下内容由采购代理机构填写，报价人须保留此表 ）                                                                                   </w:t>
      </w:r>
    </w:p>
    <w:tbl>
      <w:tblPr>
        <w:tblStyle w:val="26"/>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26"/>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ascii="宋体" w:hAnsi="宋体"/>
          <w:szCs w:val="21"/>
          <w:u w:val="single"/>
        </w:rPr>
      </w:pPr>
      <w:r>
        <w:br w:type="page"/>
      </w:r>
      <w:bookmarkStart w:id="25" w:name="_Toc42951056"/>
      <w:r>
        <w:rPr>
          <w:rFonts w:hint="eastAsia"/>
          <w:b/>
          <w:bCs/>
          <w:kern w:val="44"/>
          <w:sz w:val="32"/>
          <w:szCs w:val="32"/>
        </w:rPr>
        <w:t xml:space="preserve"> 6．商务响应表格式</w:t>
      </w:r>
      <w:bookmarkEnd w:id="25"/>
    </w:p>
    <w:p>
      <w:pPr>
        <w:pStyle w:val="5"/>
        <w:tabs>
          <w:tab w:val="clear" w:pos="864"/>
        </w:tabs>
        <w:ind w:left="0" w:firstLine="0"/>
        <w:rPr>
          <w:rFonts w:ascii="宋体" w:hAnsi="宋体" w:eastAsia="宋体"/>
        </w:rPr>
      </w:pPr>
      <w:r>
        <w:rPr>
          <w:rFonts w:hint="eastAsia" w:ascii="宋体" w:hAnsi="宋体" w:eastAsia="宋体"/>
        </w:rPr>
        <w:t>（1）商务条款响应表</w:t>
      </w:r>
    </w:p>
    <w:tbl>
      <w:tblPr>
        <w:tblStyle w:val="26"/>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50"/>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50"/>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50"/>
              <w:keepNext w:val="0"/>
              <w:adjustRightInd/>
              <w:spacing w:before="0" w:after="0" w:line="240" w:lineRule="auto"/>
              <w:rPr>
                <w:rFonts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9"/>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50"/>
              <w:keepNext w:val="0"/>
              <w:adjustRightInd/>
              <w:spacing w:before="0" w:after="0" w:line="240" w:lineRule="auto"/>
              <w:rPr>
                <w:rFonts w:ascii="宋体" w:hAnsi="宋体"/>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2"/>
        <w:spacing w:line="480" w:lineRule="exact"/>
      </w:pPr>
      <w:r>
        <w:br w:type="page"/>
      </w:r>
    </w:p>
    <w:p>
      <w:pPr>
        <w:spacing w:line="480" w:lineRule="exact"/>
        <w:rPr>
          <w:b/>
          <w:bCs/>
          <w:sz w:val="32"/>
          <w:szCs w:val="32"/>
        </w:rPr>
      </w:pPr>
      <w:bookmarkStart w:id="26" w:name="_Hlt10456523"/>
      <w:bookmarkEnd w:id="26"/>
      <w:bookmarkStart w:id="27" w:name="_Toc42951057"/>
      <w:r>
        <w:rPr>
          <w:rFonts w:hint="eastAsia"/>
          <w:b/>
          <w:bCs/>
          <w:sz w:val="32"/>
          <w:szCs w:val="32"/>
        </w:rPr>
        <w:t>7．服务费承诺书格式</w:t>
      </w:r>
      <w:bookmarkEnd w:id="27"/>
    </w:p>
    <w:p>
      <w:pPr>
        <w:spacing w:line="480" w:lineRule="exact"/>
        <w:jc w:val="center"/>
        <w:rPr>
          <w:rFonts w:ascii="宋体"/>
          <w:b/>
          <w:sz w:val="32"/>
          <w:szCs w:val="32"/>
        </w:rPr>
      </w:pPr>
      <w:r>
        <w:rPr>
          <w:rFonts w:hint="eastAsia" w:ascii="宋体"/>
          <w:b/>
          <w:sz w:val="32"/>
          <w:szCs w:val="32"/>
        </w:rPr>
        <w:t>成交服务费承诺书</w:t>
      </w:r>
    </w:p>
    <w:p>
      <w:pPr>
        <w:spacing w:line="480" w:lineRule="exact"/>
        <w:rPr>
          <w:rFonts w:ascii="宋体"/>
          <w:sz w:val="24"/>
        </w:rPr>
      </w:pPr>
    </w:p>
    <w:p>
      <w:pPr>
        <w:spacing w:line="480" w:lineRule="exact"/>
        <w:jc w:val="right"/>
        <w:rPr>
          <w:rFonts w:ascii="宋体"/>
          <w:u w:val="single"/>
        </w:rPr>
      </w:pPr>
      <w:r>
        <w:rPr>
          <w:rFonts w:hint="eastAsia" w:ascii="宋体"/>
        </w:rPr>
        <w:t>承诺书号：</w:t>
      </w:r>
      <w:r>
        <w:rPr>
          <w:rFonts w:hint="eastAsia" w:ascii="宋体" w:hAnsi="宋体"/>
        </w:rPr>
        <w:t>GDXJ19FCS1001</w:t>
      </w:r>
      <w:r>
        <w:rPr>
          <w:rFonts w:hint="eastAsia" w:ascii="宋体"/>
          <w:u w:val="single"/>
        </w:rPr>
        <w:t xml:space="preserve">                </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的相关服务磋商中获成交（采购编号：       ），我方保证在收到《成交通知书》后，按磋商文件规定“报价人须知”向贵公司交纳成交服务费。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报价人法定名称（公章）；</w:t>
      </w:r>
    </w:p>
    <w:p>
      <w:pPr>
        <w:spacing w:line="480" w:lineRule="exact"/>
        <w:ind w:left="4700" w:leftChars="2238"/>
        <w:rPr>
          <w:rFonts w:ascii="宋体"/>
        </w:rPr>
      </w:pPr>
      <w:r>
        <w:rPr>
          <w:rFonts w:hint="eastAsia" w:ascii="宋体"/>
        </w:rPr>
        <w:t>报价人法定地址：</w:t>
      </w:r>
    </w:p>
    <w:p>
      <w:pPr>
        <w:spacing w:line="480" w:lineRule="exact"/>
        <w:ind w:left="4700" w:leftChars="2238"/>
        <w:rPr>
          <w:rFonts w:ascii="宋体"/>
        </w:rPr>
      </w:pPr>
      <w:r>
        <w:rPr>
          <w:rFonts w:hint="eastAsia" w:ascii="宋体"/>
        </w:rPr>
        <w:t>报价人授权代表（签字）：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28" w:name="_Hlt10520073"/>
      <w:bookmarkEnd w:id="28"/>
      <w:bookmarkStart w:id="29" w:name="_Hlt10520032"/>
      <w:bookmarkEnd w:id="29"/>
      <w:bookmarkStart w:id="30" w:name="_Toc42951058"/>
      <w:r>
        <w:rPr>
          <w:rFonts w:hint="eastAsia"/>
          <w:sz w:val="32"/>
          <w:szCs w:val="32"/>
        </w:rPr>
        <w:t>8．其它资料格式</w:t>
      </w:r>
      <w:bookmarkEnd w:id="30"/>
    </w:p>
    <w:p>
      <w:pPr>
        <w:spacing w:line="360" w:lineRule="auto"/>
        <w:ind w:firstLine="210" w:firstLineChars="100"/>
        <w:rPr>
          <w:rFonts w:ascii="宋体"/>
        </w:rPr>
      </w:pPr>
      <w:r>
        <w:rPr>
          <w:rFonts w:hint="eastAsia" w:ascii="宋体"/>
        </w:rPr>
        <w:t>8.1  报价人简介；</w:t>
      </w:r>
    </w:p>
    <w:p>
      <w:pPr>
        <w:spacing w:line="360" w:lineRule="auto"/>
        <w:ind w:firstLine="210" w:firstLineChars="100"/>
        <w:rPr>
          <w:rFonts w:ascii="宋体"/>
        </w:rPr>
      </w:pPr>
      <w:r>
        <w:rPr>
          <w:rFonts w:hint="eastAsia" w:ascii="宋体"/>
        </w:rPr>
        <w:t xml:space="preserve">8.2  </w:t>
      </w:r>
      <w:r>
        <w:rPr>
          <w:rFonts w:hint="eastAsia" w:ascii="宋体" w:hAnsi="宋体"/>
        </w:rPr>
        <w:t>提供</w:t>
      </w:r>
      <w:r>
        <w:rPr>
          <w:rFonts w:hint="eastAsia" w:ascii="宋体" w:hAnsi="宋体"/>
          <w:szCs w:val="21"/>
        </w:rPr>
        <w:t>近二年完成的同类项目业绩</w:t>
      </w:r>
    </w:p>
    <w:p>
      <w:pPr>
        <w:spacing w:line="360" w:lineRule="auto"/>
        <w:ind w:left="525" w:leftChars="100" w:hanging="315" w:hangingChars="150"/>
        <w:jc w:val="both"/>
        <w:rPr>
          <w:rFonts w:ascii="宋体" w:hAnsi="宋体"/>
        </w:rPr>
      </w:pPr>
      <w:r>
        <w:rPr>
          <w:rFonts w:hint="eastAsia" w:ascii="宋体"/>
        </w:rPr>
        <w:t>8</w:t>
      </w:r>
      <w:r>
        <w:rPr>
          <w:rFonts w:ascii="宋体"/>
        </w:rPr>
        <w:t>.</w:t>
      </w:r>
      <w:r>
        <w:rPr>
          <w:rFonts w:hint="eastAsia" w:ascii="宋体"/>
        </w:rPr>
        <w:t xml:space="preserve">3 </w:t>
      </w:r>
      <w:r>
        <w:rPr>
          <w:rFonts w:hint="eastAsia" w:ascii="宋体" w:hAnsi="宋体"/>
        </w:rPr>
        <w:t>报价人提供近 二 年（201</w:t>
      </w:r>
      <w:r>
        <w:rPr>
          <w:rFonts w:hint="eastAsia" w:ascii="宋体" w:hAnsi="宋体"/>
          <w:lang w:val="en-US" w:eastAsia="zh-CN"/>
        </w:rPr>
        <w:t>7</w:t>
      </w:r>
      <w:r>
        <w:rPr>
          <w:rFonts w:hint="eastAsia" w:ascii="宋体" w:hAnsi="宋体"/>
        </w:rPr>
        <w:t>年、201</w:t>
      </w:r>
      <w:r>
        <w:rPr>
          <w:rFonts w:hint="eastAsia" w:ascii="宋体" w:hAnsi="宋体"/>
          <w:lang w:val="en-US" w:eastAsia="zh-CN"/>
        </w:rPr>
        <w:t>8</w:t>
      </w:r>
      <w:r>
        <w:rPr>
          <w:rFonts w:hint="eastAsia" w:ascii="宋体" w:hAnsi="宋体"/>
        </w:rPr>
        <w:t>年）的年度财务报告（提供由会计师事务所出具的审计报告，如响应供应商为新注册的，提供成立至今的月或季度财务状况报告复印件）</w:t>
      </w:r>
    </w:p>
    <w:p>
      <w:pPr>
        <w:spacing w:line="360" w:lineRule="auto"/>
        <w:rPr>
          <w:rFonts w:ascii="宋体"/>
        </w:rPr>
      </w:pPr>
      <w:r>
        <w:rPr>
          <w:rFonts w:hint="eastAsia" w:ascii="宋体"/>
        </w:rPr>
        <w:t xml:space="preserve">  8</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ascii="宋体"/>
        </w:rPr>
      </w:pPr>
      <w:r>
        <w:rPr>
          <w:rFonts w:hint="eastAsia" w:ascii="宋体"/>
        </w:rPr>
        <w:t xml:space="preserve">  8</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ascii="宋体"/>
        </w:rPr>
      </w:pPr>
      <w:r>
        <w:rPr>
          <w:rFonts w:hint="eastAsia" w:ascii="宋体"/>
        </w:rPr>
        <w:t xml:space="preserve">  8.6  报价人获奖情况及质量认证</w:t>
      </w:r>
    </w:p>
    <w:p>
      <w:pPr>
        <w:spacing w:line="360" w:lineRule="auto"/>
        <w:ind w:firstLine="210" w:firstLineChars="100"/>
        <w:rPr>
          <w:rFonts w:ascii="宋体"/>
        </w:rPr>
      </w:pPr>
      <w:r>
        <w:rPr>
          <w:rFonts w:hint="eastAsia" w:ascii="宋体"/>
        </w:rPr>
        <w:t xml:space="preserve">8.7  报价人认为有必要提供的其它资料。 </w:t>
      </w: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rPr>
        <w:br w:type="page"/>
      </w:r>
      <w:r>
        <w:rPr>
          <w:rFonts w:hint="eastAsia" w:ascii="宋体"/>
          <w:b/>
          <w:sz w:val="28"/>
          <w:szCs w:val="28"/>
        </w:rPr>
        <w:t>8.1  报价人简介</w:t>
      </w:r>
    </w:p>
    <w:p>
      <w:pPr>
        <w:spacing w:line="480" w:lineRule="exact"/>
        <w:jc w:val="both"/>
        <w:rPr>
          <w:rFonts w:ascii="宋体"/>
          <w:szCs w:val="21"/>
        </w:rPr>
      </w:pPr>
      <w:r>
        <w:rPr>
          <w:rFonts w:hint="eastAsia" w:ascii="宋体"/>
          <w:szCs w:val="21"/>
        </w:rPr>
        <w:t>报价人简介（报价人基本情况介绍，包括：人员、生产能力、技术设备、技术状况等，不够可以自制表格）</w:t>
      </w:r>
    </w:p>
    <w:p>
      <w:pPr>
        <w:pStyle w:val="23"/>
        <w:spacing w:line="480" w:lineRule="exact"/>
      </w:pPr>
    </w:p>
    <w:p>
      <w:pPr>
        <w:spacing w:line="480" w:lineRule="exact"/>
        <w:jc w:val="center"/>
        <w:rPr>
          <w:rFonts w:ascii="宋体" w:hAnsi="宋体"/>
          <w:b/>
          <w:sz w:val="32"/>
          <w:szCs w:val="32"/>
        </w:rPr>
      </w:pPr>
      <w:r>
        <w:rPr>
          <w:rFonts w:hint="eastAsia" w:ascii="宋体" w:hAnsi="宋体"/>
          <w:b/>
          <w:sz w:val="32"/>
          <w:szCs w:val="32"/>
        </w:rPr>
        <w:t>1、报价人情况表</w:t>
      </w:r>
    </w:p>
    <w:tbl>
      <w:tblPr>
        <w:tblStyle w:val="26"/>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传真</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单位简介及机构设置</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单位优势及特长</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单位概况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注册资本</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职工总数</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人</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资产情况</w:t>
            </w: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continue"/>
          </w:tcPr>
          <w:p>
            <w:pPr>
              <w:tabs>
                <w:tab w:val="left" w:pos="540"/>
              </w:tabs>
              <w:ind w:left="-132" w:leftChars="-64" w:right="-105" w:rightChars="-50" w:hanging="2"/>
              <w:jc w:val="center"/>
              <w:rPr>
                <w:rFonts w:ascii="宋体" w:hAnsi="宋体"/>
                <w:szCs w:val="21"/>
              </w:rPr>
            </w:pP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财务状况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主营收入</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收入总额</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26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利润总额（万元）</w:t>
            </w:r>
          </w:p>
        </w:tc>
        <w:tc>
          <w:tcPr>
            <w:tcW w:w="108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净利润（万元）</w:t>
            </w:r>
          </w:p>
        </w:tc>
        <w:tc>
          <w:tcPr>
            <w:tcW w:w="1158" w:type="dxa"/>
          </w:tcPr>
          <w:p>
            <w:pPr>
              <w:tabs>
                <w:tab w:val="left" w:pos="540"/>
              </w:tabs>
              <w:ind w:left="-132" w:leftChars="-64" w:right="-105" w:rightChars="-50" w:hanging="2"/>
              <w:jc w:val="center"/>
              <w:rPr>
                <w:rFonts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2015</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2016</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8.2  报价人提供同类项目业绩</w:t>
      </w:r>
    </w:p>
    <w:p>
      <w:pPr>
        <w:spacing w:line="480" w:lineRule="exact"/>
        <w:jc w:val="center"/>
        <w:rPr>
          <w:rFonts w:ascii="宋体"/>
        </w:rPr>
      </w:pPr>
      <w:r>
        <w:rPr>
          <w:rFonts w:hint="eastAsia" w:ascii="宋体"/>
          <w:b/>
          <w:sz w:val="28"/>
        </w:rPr>
        <w:t xml:space="preserve">  </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26"/>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jc w:val="center"/>
              <w:rPr>
                <w:rFonts w:ascii="宋体" w:hAnsi="宋体" w:cs="宋体"/>
              </w:rPr>
            </w:pPr>
            <w:bookmarkStart w:id="31" w:name="_Hlt10548694"/>
            <w:r>
              <w:rPr>
                <w:rFonts w:hint="eastAsia" w:ascii="宋体" w:hAnsi="宋体" w:cs="宋体"/>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jc w:val="center"/>
              <w:rPr>
                <w:rFonts w:ascii="宋体" w:hAnsi="宋体" w:cs="宋体"/>
              </w:rPr>
            </w:pPr>
            <w:r>
              <w:rPr>
                <w:rFonts w:hint="eastAsia" w:ascii="宋体" w:hAnsi="宋体" w:cs="宋体"/>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rPr>
                <w:rFonts w:ascii="宋体" w:hAnsi="宋体" w:cs="宋体"/>
              </w:rPr>
            </w:pPr>
            <w:r>
              <w:rPr>
                <w:rFonts w:hint="eastAsia" w:ascii="宋体" w:hAnsi="宋体" w:cs="宋体"/>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rPr>
                <w:rFonts w:ascii="宋体" w:hAnsi="宋体" w:cs="宋体"/>
              </w:rPr>
            </w:pPr>
            <w:r>
              <w:rPr>
                <w:rFonts w:hint="eastAsia" w:ascii="宋体" w:hAnsi="宋体" w:cs="宋体"/>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合同总价</w:t>
            </w:r>
          </w:p>
        </w:tc>
        <w:tc>
          <w:tcPr>
            <w:tcW w:w="1440" w:type="dxa"/>
            <w:tcBorders>
              <w:top w:val="double" w:color="auto" w:sz="4" w:space="0"/>
              <w:left w:val="nil"/>
              <w:bottom w:val="single" w:color="auto" w:sz="4" w:space="0"/>
              <w:right w:val="double" w:color="auto" w:sz="4" w:space="0"/>
            </w:tcBorders>
            <w:vAlign w:val="center"/>
          </w:tcPr>
          <w:p>
            <w:pPr>
              <w:jc w:val="center"/>
              <w:rPr>
                <w:rFonts w:ascii="宋体" w:hAnsi="宋体" w:cs="宋体"/>
              </w:rPr>
            </w:pPr>
            <w:r>
              <w:rPr>
                <w:rFonts w:hint="eastAsia" w:ascii="宋体" w:hAnsi="宋体" w:cs="宋体"/>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cs="宋体"/>
                <w:szCs w:val="21"/>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cs="宋体"/>
                <w:szCs w:val="21"/>
              </w:rPr>
            </w:pPr>
          </w:p>
        </w:tc>
      </w:tr>
    </w:tbl>
    <w:p>
      <w:pPr>
        <w:spacing w:line="360" w:lineRule="auto"/>
        <w:ind w:left="399" w:hanging="399" w:hangingChars="190"/>
        <w:rPr>
          <w:rFonts w:ascii="宋体" w:hAnsi="宋体"/>
        </w:rPr>
      </w:pPr>
      <w:r>
        <w:rPr>
          <w:rFonts w:hint="eastAsia" w:ascii="宋体" w:hAnsi="宋体"/>
        </w:rPr>
        <w:t>注：</w:t>
      </w:r>
      <w:r>
        <w:rPr>
          <w:rFonts w:hint="eastAsia" w:ascii="宋体" w:hAnsi="宋体"/>
          <w:szCs w:val="21"/>
        </w:rPr>
        <w:t>1、</w:t>
      </w:r>
      <w:r>
        <w:rPr>
          <w:rFonts w:hint="eastAsia" w:ascii="宋体" w:hAnsi="宋体"/>
        </w:rPr>
        <w:t>列出</w:t>
      </w:r>
      <w:bookmarkEnd w:id="31"/>
      <w:r>
        <w:rPr>
          <w:rFonts w:hint="eastAsia" w:ascii="宋体" w:hAnsi="宋体" w:cs="宋体"/>
          <w:szCs w:val="21"/>
        </w:rPr>
        <w:t>同类型项目业绩</w:t>
      </w:r>
      <w:r>
        <w:rPr>
          <w:rFonts w:hint="eastAsia" w:ascii="宋体" w:hAnsi="宋体"/>
        </w:rPr>
        <w:t>。</w:t>
      </w:r>
    </w:p>
    <w:p>
      <w:pPr>
        <w:spacing w:line="480" w:lineRule="exact"/>
        <w:ind w:right="250" w:rightChars="119" w:firstLine="525" w:firstLineChars="250"/>
        <w:rPr>
          <w:rFonts w:ascii="宋体" w:hAnsi="宋体"/>
        </w:rPr>
      </w:pPr>
      <w:r>
        <w:rPr>
          <w:rFonts w:hint="eastAsia" w:ascii="宋体" w:hAnsi="宋体"/>
        </w:rPr>
        <w:t>2、报价人应尽可能全面地反映自身的业绩，以提高其投标的竞争力；此业绩清单中的项目必须随表附有对应的证明文件复印件（加盖公章），否则视为无效业绩；</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8.3近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ascii="宋体" w:hAnsi="宋体"/>
        </w:rPr>
        <w:t>报价人提供近 二 年（201</w:t>
      </w:r>
      <w:r>
        <w:rPr>
          <w:rFonts w:hint="eastAsia" w:ascii="宋体" w:hAnsi="宋体"/>
          <w:lang w:val="en-US" w:eastAsia="zh-CN"/>
        </w:rPr>
        <w:t>7</w:t>
      </w:r>
      <w:r>
        <w:rPr>
          <w:rFonts w:hint="eastAsia" w:ascii="宋体" w:hAnsi="宋体"/>
        </w:rPr>
        <w:t>年、201</w:t>
      </w:r>
      <w:r>
        <w:rPr>
          <w:rFonts w:hint="eastAsia" w:ascii="宋体" w:hAnsi="宋体"/>
          <w:lang w:val="en-US" w:eastAsia="zh-CN"/>
        </w:rPr>
        <w:t>8</w:t>
      </w:r>
      <w:r>
        <w:rPr>
          <w:rFonts w:hint="eastAsia" w:ascii="宋体" w:hAnsi="宋体"/>
        </w:rPr>
        <w:t>年）的财务报告（提供由会计师事务所出具的审计报告，如响应供应商为新注册的，提供成立至今的月或季度财务状况报告复印件）</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8.4 关于诉讼</w:t>
      </w:r>
    </w:p>
    <w:p>
      <w:pPr>
        <w:spacing w:line="480" w:lineRule="exact"/>
        <w:ind w:firstLine="420" w:firstLineChars="200"/>
        <w:rPr>
          <w:rFonts w:ascii="宋体"/>
        </w:rPr>
      </w:pPr>
      <w:r>
        <w:rPr>
          <w:rFonts w:hint="eastAsia" w:ascii="宋体"/>
        </w:rPr>
        <w:t>报价人应说明近</w:t>
      </w:r>
      <w:r>
        <w:rPr>
          <w:rFonts w:hint="eastAsia" w:ascii="宋体"/>
          <w:u w:val="single"/>
        </w:rPr>
        <w:t xml:space="preserve"> 3 </w:t>
      </w:r>
      <w:r>
        <w:rPr>
          <w:rFonts w:hint="eastAsia" w:ascii="宋体"/>
        </w:rPr>
        <w:t>年在经营活动及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8.5  名称变更证明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rPr>
      </w:pPr>
    </w:p>
    <w:p>
      <w:pPr>
        <w:spacing w:line="480" w:lineRule="exact"/>
        <w:ind w:left="720" w:hanging="720" w:hangingChars="256"/>
        <w:rPr>
          <w:rFonts w:ascii="宋体"/>
          <w:b/>
          <w:sz w:val="28"/>
          <w:szCs w:val="28"/>
        </w:rPr>
      </w:pPr>
      <w:r>
        <w:rPr>
          <w:rFonts w:hint="eastAsia" w:ascii="宋体"/>
          <w:b/>
          <w:sz w:val="28"/>
          <w:szCs w:val="28"/>
        </w:rPr>
        <w:t>8.6  报价人获奖情况及质量认证</w:t>
      </w:r>
    </w:p>
    <w:p>
      <w:pPr>
        <w:spacing w:line="480" w:lineRule="exact"/>
        <w:rPr>
          <w:rFonts w:ascii="宋体"/>
          <w:b/>
          <w:sz w:val="28"/>
          <w:szCs w:val="28"/>
        </w:rPr>
      </w:pPr>
    </w:p>
    <w:p>
      <w:pPr>
        <w:spacing w:line="360" w:lineRule="auto"/>
        <w:rPr>
          <w:rFonts w:ascii="宋体"/>
          <w:b/>
          <w:sz w:val="28"/>
          <w:szCs w:val="28"/>
        </w:rPr>
      </w:pPr>
      <w:r>
        <w:rPr>
          <w:rFonts w:hint="eastAsia" w:ascii="宋体"/>
          <w:b/>
          <w:sz w:val="28"/>
          <w:szCs w:val="28"/>
        </w:rPr>
        <w:t>8.7  报价人认为有必要提供的其它资料。</w:t>
      </w:r>
    </w:p>
    <w:p>
      <w:pPr>
        <w:spacing w:line="360" w:lineRule="auto"/>
        <w:ind w:firstLine="315" w:firstLineChars="150"/>
        <w:rPr>
          <w:rFonts w:ascii="宋体" w:hAnsi="宋体"/>
          <w:szCs w:val="21"/>
        </w:rPr>
      </w:pPr>
    </w:p>
    <w:p>
      <w:pPr>
        <w:spacing w:line="360" w:lineRule="auto"/>
        <w:ind w:firstLine="315" w:firstLineChars="150"/>
        <w:rPr>
          <w:rFonts w:ascii="宋体" w:hAns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b/>
          <w:sz w:val="24"/>
        </w:rPr>
        <w:br w:type="page"/>
      </w:r>
      <w:bookmarkStart w:id="32" w:name="_Hlt10462379"/>
      <w:bookmarkEnd w:id="32"/>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outlineLvl w:val="0"/>
        <w:rPr>
          <w:b/>
          <w:sz w:val="44"/>
          <w:szCs w:val="44"/>
        </w:rPr>
      </w:pPr>
      <w:r>
        <w:rPr>
          <w:rFonts w:hint="eastAsia"/>
          <w:b/>
          <w:sz w:val="44"/>
          <w:szCs w:val="44"/>
        </w:rPr>
        <w:t>二、技 术 服 务 方 案 响 应</w:t>
      </w:r>
    </w:p>
    <w:p>
      <w:pPr>
        <w:pStyle w:val="14"/>
        <w:spacing w:line="480" w:lineRule="exact"/>
        <w:jc w:val="center"/>
        <w:outlineLvl w:val="0"/>
        <w:rPr>
          <w:b/>
          <w:sz w:val="44"/>
          <w:szCs w:val="44"/>
        </w:rPr>
      </w:pPr>
    </w:p>
    <w:p>
      <w:pPr>
        <w:pStyle w:val="2"/>
        <w:spacing w:line="480" w:lineRule="exact"/>
        <w:rPr>
          <w:rFonts w:hAnsi="宋体"/>
          <w:kern w:val="2"/>
          <w:sz w:val="32"/>
          <w:szCs w:val="32"/>
        </w:rPr>
      </w:pPr>
      <w:r>
        <w:br w:type="page"/>
      </w:r>
      <w:bookmarkStart w:id="33" w:name="_Hlt10520028"/>
      <w:bookmarkEnd w:id="33"/>
      <w:bookmarkStart w:id="34" w:name="_Hlt10523647"/>
      <w:bookmarkEnd w:id="34"/>
      <w:bookmarkStart w:id="35" w:name="_Toc42951059"/>
      <w:r>
        <w:rPr>
          <w:rFonts w:hint="eastAsia"/>
          <w:sz w:val="32"/>
          <w:szCs w:val="32"/>
        </w:rPr>
        <w:t>9．</w:t>
      </w:r>
      <w:bookmarkEnd w:id="35"/>
      <w:bookmarkStart w:id="36" w:name="_Toc4471859"/>
      <w:bookmarkStart w:id="37" w:name="_Toc42956284"/>
      <w:r>
        <w:rPr>
          <w:rFonts w:hint="eastAsia"/>
          <w:sz w:val="32"/>
          <w:szCs w:val="32"/>
        </w:rPr>
        <w:t>技术</w:t>
      </w:r>
      <w:r>
        <w:rPr>
          <w:rFonts w:hint="eastAsia" w:hAnsi="宋体"/>
          <w:kern w:val="2"/>
          <w:sz w:val="32"/>
          <w:szCs w:val="32"/>
        </w:rPr>
        <w:t>服务方案响应文件格式</w:t>
      </w:r>
    </w:p>
    <w:p/>
    <w:p>
      <w:pPr>
        <w:spacing w:line="480" w:lineRule="exact"/>
        <w:rPr>
          <w:b/>
          <w:sz w:val="24"/>
          <w:szCs w:val="24"/>
        </w:rPr>
      </w:pPr>
      <w:bookmarkStart w:id="38" w:name="_Toc42956283"/>
      <w:r>
        <w:rPr>
          <w:rFonts w:hint="eastAsia" w:ascii="宋体" w:hAnsi="宋体"/>
          <w:b/>
          <w:sz w:val="28"/>
          <w:szCs w:val="28"/>
        </w:rPr>
        <w:t>9.1</w:t>
      </w:r>
      <w:bookmarkEnd w:id="38"/>
      <w:r>
        <w:rPr>
          <w:rFonts w:hint="eastAsia" w:ascii="宋体" w:hAnsi="宋体"/>
          <w:b/>
          <w:sz w:val="28"/>
          <w:szCs w:val="28"/>
        </w:rPr>
        <w:t xml:space="preserve"> 技术</w:t>
      </w:r>
      <w:r>
        <w:rPr>
          <w:rFonts w:hint="eastAsia"/>
          <w:b/>
          <w:sz w:val="24"/>
          <w:szCs w:val="24"/>
        </w:rPr>
        <w:t>服务需求响应表</w:t>
      </w:r>
    </w:p>
    <w:p>
      <w:pPr>
        <w:spacing w:line="480" w:lineRule="exact"/>
        <w:rPr>
          <w:b/>
          <w:bCs/>
          <w:sz w:val="24"/>
          <w:szCs w:val="24"/>
        </w:rPr>
      </w:pPr>
      <w:r>
        <w:rPr>
          <w:rFonts w:hint="eastAsia"/>
          <w:b/>
          <w:sz w:val="24"/>
          <w:szCs w:val="24"/>
        </w:rPr>
        <w:t>（1）</w:t>
      </w:r>
      <w:r>
        <w:rPr>
          <w:rFonts w:hint="eastAsia" w:ascii="宋体" w:hAnsi="宋体"/>
          <w:b/>
          <w:sz w:val="28"/>
          <w:szCs w:val="28"/>
        </w:rPr>
        <w:t xml:space="preserve"> </w:t>
      </w:r>
      <w:r>
        <w:rPr>
          <w:rFonts w:hint="eastAsia"/>
          <w:b/>
          <w:bCs/>
          <w:sz w:val="24"/>
          <w:szCs w:val="24"/>
        </w:rPr>
        <w:t>实质性响应技术服务需求（“</w:t>
      </w:r>
      <w:r>
        <w:rPr>
          <w:rFonts w:hint="eastAsia" w:ascii="宋体" w:hAnsi="宋体" w:cs="宋体"/>
          <w:b/>
          <w:bCs/>
          <w:sz w:val="24"/>
          <w:szCs w:val="24"/>
        </w:rPr>
        <w:t>★</w:t>
      </w:r>
      <w:r>
        <w:rPr>
          <w:rFonts w:hint="eastAsia"/>
          <w:b/>
          <w:bCs/>
          <w:sz w:val="24"/>
          <w:szCs w:val="24"/>
        </w:rPr>
        <w:t>”项）响应表</w:t>
      </w:r>
    </w:p>
    <w:p>
      <w:pPr>
        <w:tabs>
          <w:tab w:val="left" w:pos="2900"/>
        </w:tabs>
        <w:spacing w:line="480" w:lineRule="exact"/>
        <w:ind w:left="2" w:leftChars="1" w:firstLine="420" w:firstLineChars="200"/>
        <w:rPr>
          <w:rFonts w:ascii="宋体" w:hAnsi="宋体"/>
          <w:szCs w:val="21"/>
        </w:rPr>
      </w:pPr>
      <w:r>
        <w:rPr>
          <w:rFonts w:hint="eastAsia" w:ascii="宋体" w:hAnsi="宋体"/>
          <w:szCs w:val="21"/>
        </w:rPr>
        <w:t>报价人应根据报价的实际情况对磋商文件中《用户需求书》的内容作全面响应。完全满足的在“响应栏”中打“√”，若有差异则打“×”，并将差异情况加以说明。</w:t>
      </w:r>
    </w:p>
    <w:tbl>
      <w:tblPr>
        <w:tblStyle w:val="26"/>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szCs w:val="21"/>
              </w:rPr>
            </w:pPr>
            <w:r>
              <w:rPr>
                <w:rFonts w:hint="eastAsia" w:ascii="宋体" w:hAnsi="宋体"/>
                <w:b/>
                <w:szCs w:val="21"/>
              </w:rPr>
              <w:t>序号</w:t>
            </w:r>
          </w:p>
        </w:tc>
        <w:tc>
          <w:tcPr>
            <w:tcW w:w="2746" w:type="dxa"/>
            <w:vAlign w:val="center"/>
          </w:tcPr>
          <w:p>
            <w:pPr>
              <w:spacing w:line="480" w:lineRule="exact"/>
              <w:jc w:val="center"/>
              <w:rPr>
                <w:rFonts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1</w:t>
            </w:r>
          </w:p>
        </w:tc>
        <w:tc>
          <w:tcPr>
            <w:tcW w:w="2746" w:type="dxa"/>
            <w:vAlign w:val="center"/>
          </w:tcPr>
          <w:p>
            <w:pPr>
              <w:jc w:val="center"/>
              <w:rPr>
                <w:rFonts w:ascii="宋体" w:hAnsi="宋体"/>
                <w:szCs w:val="21"/>
              </w:rPr>
            </w:pPr>
            <w:r>
              <w:rPr>
                <w:rFonts w:hint="eastAsia" w:ascii="宋体" w:hAnsi="宋体"/>
                <w:szCs w:val="21"/>
              </w:rPr>
              <w:t>逐条响应</w:t>
            </w:r>
          </w:p>
        </w:tc>
        <w:tc>
          <w:tcPr>
            <w:tcW w:w="2730" w:type="dxa"/>
            <w:vAlign w:val="center"/>
          </w:tcPr>
          <w:p>
            <w:pPr>
              <w:jc w:val="center"/>
              <w:rPr>
                <w:rFonts w:ascii="宋体" w:hAnsi="宋体"/>
                <w:szCs w:val="21"/>
              </w:rPr>
            </w:pPr>
            <w:r>
              <w:rPr>
                <w:rFonts w:hint="eastAsia" w:ascii="宋体" w:hAnsi="宋体"/>
                <w:szCs w:val="21"/>
              </w:rPr>
              <w:t>逐条响应</w:t>
            </w:r>
          </w:p>
        </w:tc>
        <w:tc>
          <w:tcPr>
            <w:tcW w:w="2520" w:type="dxa"/>
            <w:vAlign w:val="center"/>
          </w:tcPr>
          <w:p>
            <w:pPr>
              <w:jc w:val="center"/>
              <w:rPr>
                <w:rFonts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2</w:t>
            </w:r>
          </w:p>
        </w:tc>
        <w:tc>
          <w:tcPr>
            <w:tcW w:w="2746" w:type="dxa"/>
            <w:vAlign w:val="center"/>
          </w:tcPr>
          <w:p>
            <w:pPr>
              <w:jc w:val="center"/>
              <w:rPr>
                <w:rFonts w:ascii="宋体" w:hAnsi="宋体"/>
                <w:szCs w:val="21"/>
              </w:rPr>
            </w:pPr>
            <w:r>
              <w:rPr>
                <w:rFonts w:hint="eastAsia" w:ascii="宋体" w:hAnsi="宋体"/>
                <w:szCs w:val="21"/>
              </w:rPr>
              <w:t>……</w:t>
            </w:r>
          </w:p>
        </w:tc>
        <w:tc>
          <w:tcPr>
            <w:tcW w:w="2730" w:type="dxa"/>
            <w:vAlign w:val="center"/>
          </w:tcPr>
          <w:p>
            <w:pPr>
              <w:jc w:val="center"/>
              <w:rPr>
                <w:rFonts w:ascii="宋体" w:hAnsi="宋体"/>
                <w:szCs w:val="21"/>
              </w:rPr>
            </w:pPr>
            <w:r>
              <w:rPr>
                <w:rFonts w:hint="eastAsia" w:ascii="宋体" w:hAnsi="宋体"/>
                <w:szCs w:val="21"/>
              </w:rPr>
              <w:t>……</w:t>
            </w:r>
          </w:p>
        </w:tc>
        <w:tc>
          <w:tcPr>
            <w:tcW w:w="2520" w:type="dxa"/>
            <w:vAlign w:val="center"/>
          </w:tcPr>
          <w:p>
            <w:pPr>
              <w:jc w:val="center"/>
              <w:rPr>
                <w:rFonts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3</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4</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bl>
    <w:p>
      <w:pPr>
        <w:rPr>
          <w:bCs/>
          <w:szCs w:val="21"/>
        </w:rPr>
      </w:pPr>
      <w:r>
        <w:rPr>
          <w:rFonts w:hint="eastAsia"/>
          <w:bCs/>
          <w:szCs w:val="21"/>
        </w:rPr>
        <w:t>说明：</w:t>
      </w:r>
      <w:r>
        <w:rPr>
          <w:rFonts w:hint="eastAsia"/>
          <w:bCs/>
          <w:szCs w:val="21"/>
        </w:rPr>
        <w:tab/>
      </w:r>
      <w:r>
        <w:rPr>
          <w:rFonts w:hint="eastAsia"/>
          <w:bCs/>
          <w:szCs w:val="21"/>
        </w:rPr>
        <w:t>1.报价人/响应供应商必须对应磋商文件“采购项目技术规格、参数及要求”的内容逐条响应。如有缺漏，缺漏项视同不符合招标/谈判要求。打“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bCs/>
          <w:szCs w:val="21"/>
        </w:rPr>
      </w:pPr>
      <w:r>
        <w:rPr>
          <w:rFonts w:hint="eastAsia"/>
          <w:bCs/>
          <w:szCs w:val="21"/>
        </w:rPr>
        <w:t>2.报价人/响应供应商响应采购需求应具体、明确，含糊不清、不确切或伪造、变造证明材料的，按照不完全响应或者完全不响应处理。构成提供虚假材料的，移送监管部门查处。</w:t>
      </w:r>
    </w:p>
    <w:p>
      <w:pPr>
        <w:rPr>
          <w:bCs/>
          <w:sz w:val="24"/>
          <w:szCs w:val="24"/>
        </w:rPr>
      </w:pPr>
      <w:r>
        <w:rPr>
          <w:rFonts w:hint="eastAsia"/>
          <w:bCs/>
          <w:szCs w:val="21"/>
        </w:rPr>
        <w:t>3.本表内容不得擅自修改。</w:t>
      </w:r>
    </w:p>
    <w:p>
      <w:pPr>
        <w:pStyle w:val="2"/>
        <w:spacing w:line="480" w:lineRule="exact"/>
        <w:rPr>
          <w:rFonts w:hAnsi="宋体"/>
          <w:b w:val="0"/>
          <w:szCs w:val="21"/>
        </w:rPr>
      </w:pPr>
    </w:p>
    <w:p>
      <w:pPr>
        <w:pStyle w:val="14"/>
        <w:spacing w:line="480" w:lineRule="exact"/>
        <w:ind w:firstLine="5373" w:firstLineChars="2559"/>
        <w:rPr>
          <w:rFonts w:hAnsi="宋体"/>
        </w:rPr>
      </w:pPr>
      <w:r>
        <w:rPr>
          <w:rFonts w:hint="eastAsia" w:hAnsi="宋体"/>
        </w:rPr>
        <w:t>报价人（公章）：</w:t>
      </w:r>
    </w:p>
    <w:p>
      <w:pPr>
        <w:pStyle w:val="14"/>
        <w:spacing w:line="480" w:lineRule="exact"/>
        <w:ind w:firstLine="5373" w:firstLineChars="2559"/>
        <w:rPr>
          <w:rFonts w:hAnsi="宋体"/>
        </w:rPr>
      </w:pPr>
      <w:r>
        <w:rPr>
          <w:rFonts w:hint="eastAsia" w:hAnsi="宋体"/>
        </w:rPr>
        <w:t>授权代表（签名）：</w:t>
      </w:r>
    </w:p>
    <w:p>
      <w:pPr>
        <w:spacing w:line="480" w:lineRule="exact"/>
        <w:ind w:firstLine="5373" w:firstLineChars="2559"/>
        <w:jc w:val="both"/>
        <w:rPr>
          <w:rFonts w:ascii="宋体" w:hAnsi="宋体"/>
        </w:rPr>
      </w:pPr>
      <w:r>
        <w:rPr>
          <w:rFonts w:hint="eastAsia" w:ascii="宋体" w:hAnsi="宋体"/>
        </w:rPr>
        <w:t>日期：</w:t>
      </w:r>
    </w:p>
    <w:p>
      <w:pPr>
        <w:pStyle w:val="14"/>
        <w:spacing w:line="360" w:lineRule="auto"/>
        <w:ind w:firstLine="403" w:firstLineChars="192"/>
        <w:rPr>
          <w:rFonts w:hAnsi="宋体"/>
          <w:szCs w:val="21"/>
        </w:rPr>
      </w:pPr>
      <w:r>
        <w:rPr>
          <w:rFonts w:hAnsi="宋体"/>
        </w:rPr>
        <w:br w:type="page"/>
      </w:r>
      <w:r>
        <w:rPr>
          <w:rFonts w:hint="eastAsia"/>
          <w:b/>
          <w:sz w:val="24"/>
          <w:szCs w:val="24"/>
        </w:rPr>
        <w:t>（2）一般技术服务需求响应表</w:t>
      </w:r>
    </w:p>
    <w:tbl>
      <w:tblPr>
        <w:tblStyle w:val="26"/>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szCs w:val="21"/>
              </w:rPr>
            </w:pPr>
            <w:r>
              <w:rPr>
                <w:rFonts w:hint="eastAsia" w:ascii="宋体" w:hAnsi="宋体"/>
                <w:b/>
                <w:szCs w:val="21"/>
              </w:rPr>
              <w:t>序号</w:t>
            </w:r>
          </w:p>
        </w:tc>
        <w:tc>
          <w:tcPr>
            <w:tcW w:w="1716" w:type="dxa"/>
            <w:vAlign w:val="center"/>
          </w:tcPr>
          <w:p>
            <w:pPr>
              <w:spacing w:line="360" w:lineRule="auto"/>
              <w:jc w:val="center"/>
              <w:rPr>
                <w:rFonts w:ascii="宋体" w:hAnsi="宋体"/>
                <w:b/>
                <w:szCs w:val="21"/>
              </w:rPr>
            </w:pPr>
            <w:r>
              <w:rPr>
                <w:rFonts w:hint="eastAsia" w:ascii="宋体" w:hAnsi="宋体"/>
                <w:b/>
                <w:szCs w:val="21"/>
              </w:rPr>
              <w:t>招标要求</w:t>
            </w:r>
          </w:p>
        </w:tc>
        <w:tc>
          <w:tcPr>
            <w:tcW w:w="3207" w:type="dxa"/>
            <w:vAlign w:val="center"/>
          </w:tcPr>
          <w:p>
            <w:pPr>
              <w:spacing w:line="360" w:lineRule="auto"/>
              <w:jc w:val="center"/>
              <w:rPr>
                <w:rFonts w:ascii="宋体" w:hAnsi="宋体"/>
                <w:b/>
                <w:szCs w:val="21"/>
              </w:rPr>
            </w:pPr>
            <w:r>
              <w:rPr>
                <w:rFonts w:hint="eastAsia"/>
                <w:b/>
                <w:bCs/>
                <w:szCs w:val="21"/>
              </w:rPr>
              <w:t>投标/响应技术服务实际情况</w:t>
            </w:r>
          </w:p>
        </w:tc>
        <w:tc>
          <w:tcPr>
            <w:tcW w:w="1890" w:type="dxa"/>
            <w:vAlign w:val="center"/>
          </w:tcPr>
          <w:p>
            <w:pPr>
              <w:spacing w:line="360" w:lineRule="auto"/>
              <w:jc w:val="center"/>
              <w:rPr>
                <w:rFonts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1</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2</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3</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4</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5</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6</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7</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8</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ascii="宋体" w:hAnsi="宋体"/>
          <w:szCs w:val="21"/>
        </w:rPr>
      </w:pPr>
      <w:r>
        <w:rPr>
          <w:rFonts w:hint="eastAsia" w:ascii="宋体" w:hAnsi="宋体"/>
          <w:szCs w:val="21"/>
        </w:rPr>
        <w:t>注：</w:t>
      </w:r>
    </w:p>
    <w:p>
      <w:pPr>
        <w:spacing w:line="360" w:lineRule="auto"/>
        <w:rPr>
          <w:rFonts w:ascii="宋体" w:hAnsi="宋体"/>
          <w:szCs w:val="21"/>
          <w:lang w:val="en-GB"/>
        </w:rPr>
      </w:pPr>
      <w:r>
        <w:rPr>
          <w:rFonts w:hint="eastAsia" w:ascii="宋体" w:hAnsi="宋体"/>
          <w:szCs w:val="21"/>
        </w:rPr>
        <w:t>1、报价人须对应磋商文件“用户需求书”中的内容逐条响应。如有缺漏，缺漏项视同不符合磋商要求。</w:t>
      </w:r>
    </w:p>
    <w:p>
      <w:pPr>
        <w:spacing w:line="360" w:lineRule="auto"/>
        <w:rPr>
          <w:rFonts w:ascii="宋体" w:hAnsi="宋体"/>
          <w:szCs w:val="21"/>
        </w:rPr>
      </w:pPr>
      <w:r>
        <w:rPr>
          <w:rFonts w:hint="eastAsia" w:ascii="宋体" w:hAnsi="宋体"/>
          <w:szCs w:val="21"/>
          <w:lang w:val="en-GB"/>
        </w:rPr>
        <w:t>2、</w:t>
      </w:r>
      <w:r>
        <w:rPr>
          <w:rFonts w:hint="eastAsia" w:ascii="宋体" w:hAnsi="宋体"/>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szCs w:val="21"/>
        </w:rPr>
      </w:pPr>
      <w:r>
        <w:rPr>
          <w:rFonts w:hint="eastAsia" w:ascii="宋体" w:hAnsi="宋体"/>
          <w:szCs w:val="21"/>
          <w:lang w:val="en-GB"/>
        </w:rPr>
        <w:t>3、本表内容不得擅自修改。</w:t>
      </w:r>
    </w:p>
    <w:p>
      <w:pPr>
        <w:spacing w:line="360" w:lineRule="auto"/>
        <w:rPr>
          <w:rFonts w:ascii="宋体" w:hAnsi="宋体"/>
          <w:szCs w:val="21"/>
        </w:rPr>
      </w:pPr>
    </w:p>
    <w:p>
      <w:pPr>
        <w:pStyle w:val="14"/>
        <w:spacing w:line="480" w:lineRule="exact"/>
        <w:ind w:firstLine="6741" w:firstLineChars="3210"/>
        <w:rPr>
          <w:rFonts w:hAnsi="宋体"/>
          <w:bCs/>
        </w:rPr>
      </w:pPr>
      <w:r>
        <w:rPr>
          <w:rFonts w:hint="eastAsia" w:hAnsi="宋体"/>
          <w:bCs/>
        </w:rPr>
        <w:t>报价人（公章）：</w:t>
      </w:r>
    </w:p>
    <w:p>
      <w:pPr>
        <w:pStyle w:val="14"/>
        <w:spacing w:line="480" w:lineRule="exact"/>
        <w:ind w:firstLine="6741" w:firstLineChars="3210"/>
        <w:rPr>
          <w:rFonts w:hAnsi="宋体"/>
          <w:bCs/>
        </w:rPr>
      </w:pPr>
      <w:r>
        <w:rPr>
          <w:rFonts w:hint="eastAsia" w:hAnsi="宋体"/>
          <w:bCs/>
        </w:rPr>
        <w:t>授权代表（签名）：</w:t>
      </w:r>
    </w:p>
    <w:p>
      <w:pPr>
        <w:pStyle w:val="14"/>
        <w:spacing w:line="480" w:lineRule="exact"/>
        <w:ind w:firstLine="6741" w:firstLineChars="3210"/>
        <w:rPr>
          <w:rFonts w:hAnsi="宋体"/>
          <w:bCs/>
        </w:rPr>
      </w:pPr>
      <w:r>
        <w:rPr>
          <w:rFonts w:hint="eastAsia" w:hAnsi="宋体"/>
          <w:bCs/>
        </w:rPr>
        <w:t>日期：</w:t>
      </w:r>
    </w:p>
    <w:p>
      <w:pPr>
        <w:pStyle w:val="14"/>
        <w:spacing w:line="480" w:lineRule="exact"/>
        <w:ind w:firstLine="6767" w:firstLineChars="3210"/>
        <w:rPr>
          <w:rFonts w:hAnsi="宋体"/>
          <w:b/>
        </w:rPr>
      </w:pPr>
    </w:p>
    <w:p>
      <w:pPr>
        <w:spacing w:line="480" w:lineRule="exact"/>
        <w:rPr>
          <w:rFonts w:ascii="宋体" w:hAnsi="宋体"/>
          <w:sz w:val="32"/>
          <w:szCs w:val="32"/>
        </w:rPr>
      </w:pPr>
      <w:r>
        <w:rPr>
          <w:rFonts w:ascii="宋体" w:hAnsi="宋体"/>
        </w:rPr>
        <w:br w:type="page"/>
      </w:r>
      <w:r>
        <w:rPr>
          <w:rFonts w:hint="eastAsia" w:ascii="宋体" w:hAnsi="宋体"/>
          <w:b/>
          <w:sz w:val="32"/>
          <w:szCs w:val="32"/>
        </w:rPr>
        <w:t>9.2  技术服务方案</w:t>
      </w: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r>
        <w:rPr>
          <w:rFonts w:hint="eastAsia" w:hAnsi="宋体"/>
          <w:szCs w:val="21"/>
        </w:rPr>
        <w:t>报价人首先应充分理解磋商文件中用户需求书中内容的要求，并在此基础之上完成项目服务方案的编写：</w:t>
      </w:r>
    </w:p>
    <w:p>
      <w:pPr>
        <w:spacing w:line="360" w:lineRule="auto"/>
        <w:ind w:left="560"/>
        <w:rPr>
          <w:rFonts w:ascii="宋体" w:hAnsi="宋体"/>
          <w:szCs w:val="21"/>
        </w:rPr>
      </w:pP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cols w:space="720" w:num="1"/>
          <w:docGrid w:linePitch="312" w:charSpace="0"/>
        </w:sectPr>
      </w:pPr>
      <w:r>
        <w:t>日      期</w:t>
      </w:r>
      <w:r>
        <w:rPr>
          <w:rFonts w:hint="eastAsia"/>
        </w:rPr>
        <w:t>：</w:t>
      </w:r>
    </w:p>
    <w:bookmarkEnd w:id="36"/>
    <w:bookmarkEnd w:id="37"/>
    <w:p>
      <w:pPr>
        <w:spacing w:line="360" w:lineRule="auto"/>
        <w:rPr>
          <w:rFonts w:ascii="宋体"/>
        </w:rPr>
      </w:pPr>
      <w:r>
        <w:rPr>
          <w:rFonts w:hint="eastAsia" w:ascii="宋体"/>
          <w:b/>
          <w:sz w:val="24"/>
        </w:rPr>
        <w:t>9.3本项目管理技术人员配置</w:t>
      </w:r>
    </w:p>
    <w:p>
      <w:pPr>
        <w:spacing w:line="360" w:lineRule="auto"/>
        <w:jc w:val="center"/>
        <w:rPr>
          <w:b/>
          <w:sz w:val="28"/>
        </w:rPr>
      </w:pPr>
    </w:p>
    <w:p>
      <w:pPr>
        <w:spacing w:after="120"/>
        <w:ind w:left="420" w:leftChars="200"/>
        <w:rPr>
          <w:rFonts w:ascii="宋体" w:hAnsi="宋体" w:cs="宋体"/>
          <w:b/>
          <w:szCs w:val="21"/>
        </w:rPr>
      </w:pPr>
      <w:r>
        <w:rPr>
          <w:rFonts w:hint="eastAsia" w:ascii="宋体" w:hAnsi="宋体" w:cs="宋体"/>
          <w:b/>
          <w:szCs w:val="21"/>
        </w:rPr>
        <w:t>（一）</w:t>
      </w:r>
      <w:r>
        <w:rPr>
          <w:rFonts w:hint="eastAsia" w:ascii="宋体" w:hAnsi="宋体" w:cs="宋体"/>
          <w:b/>
          <w:sz w:val="24"/>
          <w:szCs w:val="24"/>
        </w:rPr>
        <w:t>项目负责人简历表</w:t>
      </w:r>
    </w:p>
    <w:p>
      <w:pPr>
        <w:spacing w:line="360" w:lineRule="auto"/>
        <w:ind w:left="1320" w:leftChars="342" w:hanging="602" w:hangingChars="250"/>
        <w:jc w:val="center"/>
        <w:rPr>
          <w:rFonts w:ascii="宋体" w:hAnsi="宋体" w:cs="宋体"/>
          <w:b/>
          <w:szCs w:val="21"/>
        </w:rPr>
      </w:pPr>
      <w:r>
        <w:rPr>
          <w:rFonts w:hint="eastAsia" w:ascii="宋体" w:hAnsi="宋体" w:cs="宋体"/>
          <w:b/>
          <w:sz w:val="24"/>
          <w:szCs w:val="24"/>
        </w:rPr>
        <w:t>项目负责人简历表</w:t>
      </w:r>
    </w:p>
    <w:tbl>
      <w:tblPr>
        <w:tblStyle w:val="26"/>
        <w:tblW w:w="90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4"/>
        <w:gridCol w:w="376"/>
        <w:gridCol w:w="513"/>
        <w:gridCol w:w="875"/>
        <w:gridCol w:w="705"/>
        <w:gridCol w:w="596"/>
        <w:gridCol w:w="656"/>
        <w:gridCol w:w="849"/>
        <w:gridCol w:w="145"/>
        <w:gridCol w:w="1677"/>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ascii="宋体" w:hAnsi="宋体" w:cs="宋体"/>
                <w:szCs w:val="21"/>
              </w:rPr>
            </w:pPr>
            <w:r>
              <w:rPr>
                <w:rFonts w:hint="eastAsia" w:ascii="宋体" w:hAnsi="宋体" w:cs="宋体"/>
                <w:szCs w:val="21"/>
              </w:rPr>
              <w:t>姓名</w:t>
            </w:r>
          </w:p>
        </w:tc>
        <w:tc>
          <w:tcPr>
            <w:tcW w:w="1764" w:type="dxa"/>
            <w:gridSpan w:val="3"/>
            <w:vAlign w:val="center"/>
          </w:tcPr>
          <w:p>
            <w:pPr>
              <w:jc w:val="center"/>
              <w:rPr>
                <w:rFonts w:ascii="宋体" w:hAnsi="宋体" w:cs="宋体"/>
                <w:szCs w:val="21"/>
              </w:rPr>
            </w:pPr>
          </w:p>
        </w:tc>
        <w:tc>
          <w:tcPr>
            <w:tcW w:w="1301" w:type="dxa"/>
            <w:gridSpan w:val="2"/>
            <w:vAlign w:val="center"/>
          </w:tcPr>
          <w:p>
            <w:pPr>
              <w:jc w:val="center"/>
              <w:rPr>
                <w:rFonts w:ascii="宋体" w:hAnsi="宋体" w:cs="宋体"/>
                <w:szCs w:val="21"/>
              </w:rPr>
            </w:pPr>
            <w:r>
              <w:rPr>
                <w:rFonts w:hint="eastAsia" w:ascii="宋体" w:hAnsi="宋体" w:cs="宋体"/>
                <w:szCs w:val="21"/>
              </w:rPr>
              <w:t>性别</w:t>
            </w:r>
          </w:p>
        </w:tc>
        <w:tc>
          <w:tcPr>
            <w:tcW w:w="1650" w:type="dxa"/>
            <w:gridSpan w:val="3"/>
            <w:vAlign w:val="center"/>
          </w:tcPr>
          <w:p>
            <w:pPr>
              <w:jc w:val="center"/>
              <w:rPr>
                <w:rFonts w:ascii="宋体" w:hAnsi="宋体" w:cs="宋体"/>
                <w:szCs w:val="21"/>
              </w:rPr>
            </w:pPr>
          </w:p>
        </w:tc>
        <w:tc>
          <w:tcPr>
            <w:tcW w:w="1677" w:type="dxa"/>
            <w:vAlign w:val="center"/>
          </w:tcPr>
          <w:p>
            <w:pPr>
              <w:jc w:val="center"/>
              <w:rPr>
                <w:rFonts w:ascii="宋体" w:hAnsi="宋体" w:cs="宋体"/>
                <w:szCs w:val="21"/>
              </w:rPr>
            </w:pPr>
            <w:r>
              <w:rPr>
                <w:rFonts w:hint="eastAsia" w:ascii="宋体" w:hAnsi="宋体" w:cs="宋体"/>
                <w:szCs w:val="21"/>
              </w:rPr>
              <w:t>年龄</w:t>
            </w: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ascii="宋体" w:hAnsi="宋体" w:cs="宋体"/>
                <w:szCs w:val="21"/>
              </w:rPr>
            </w:pPr>
            <w:r>
              <w:rPr>
                <w:rFonts w:hint="eastAsia" w:ascii="宋体" w:hAnsi="宋体" w:cs="宋体"/>
                <w:szCs w:val="21"/>
              </w:rPr>
              <w:t>职务</w:t>
            </w:r>
          </w:p>
        </w:tc>
        <w:tc>
          <w:tcPr>
            <w:tcW w:w="1764" w:type="dxa"/>
            <w:gridSpan w:val="3"/>
            <w:vAlign w:val="center"/>
          </w:tcPr>
          <w:p>
            <w:pPr>
              <w:jc w:val="center"/>
              <w:rPr>
                <w:rFonts w:ascii="宋体" w:hAnsi="宋体" w:cs="宋体"/>
                <w:szCs w:val="21"/>
              </w:rPr>
            </w:pPr>
          </w:p>
        </w:tc>
        <w:tc>
          <w:tcPr>
            <w:tcW w:w="1301" w:type="dxa"/>
            <w:gridSpan w:val="2"/>
            <w:vAlign w:val="center"/>
          </w:tcPr>
          <w:p>
            <w:pPr>
              <w:jc w:val="center"/>
              <w:rPr>
                <w:rFonts w:ascii="宋体" w:hAnsi="宋体" w:cs="宋体"/>
                <w:szCs w:val="21"/>
              </w:rPr>
            </w:pPr>
            <w:r>
              <w:rPr>
                <w:rFonts w:hint="eastAsia" w:ascii="宋体" w:hAnsi="宋体" w:cs="宋体"/>
                <w:szCs w:val="21"/>
              </w:rPr>
              <w:t>职称</w:t>
            </w:r>
          </w:p>
        </w:tc>
        <w:tc>
          <w:tcPr>
            <w:tcW w:w="1650" w:type="dxa"/>
            <w:gridSpan w:val="3"/>
            <w:vAlign w:val="center"/>
          </w:tcPr>
          <w:p>
            <w:pPr>
              <w:jc w:val="center"/>
              <w:rPr>
                <w:rFonts w:ascii="宋体" w:hAnsi="宋体" w:cs="宋体"/>
                <w:szCs w:val="21"/>
              </w:rPr>
            </w:pPr>
          </w:p>
        </w:tc>
        <w:tc>
          <w:tcPr>
            <w:tcW w:w="1677" w:type="dxa"/>
            <w:vAlign w:val="center"/>
          </w:tcPr>
          <w:p>
            <w:pPr>
              <w:jc w:val="center"/>
              <w:rPr>
                <w:rFonts w:ascii="宋体" w:hAnsi="宋体" w:cs="宋体"/>
                <w:szCs w:val="21"/>
              </w:rPr>
            </w:pPr>
            <w:r>
              <w:rPr>
                <w:rFonts w:hint="eastAsia" w:ascii="宋体" w:hAnsi="宋体" w:cs="宋体"/>
                <w:szCs w:val="21"/>
              </w:rPr>
              <w:t>学历</w:t>
            </w: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ascii="宋体" w:hAnsi="宋体" w:cs="宋体"/>
                <w:szCs w:val="21"/>
              </w:rPr>
            </w:pPr>
            <w:r>
              <w:rPr>
                <w:rFonts w:hint="eastAsia" w:ascii="宋体" w:hAnsi="宋体" w:cs="宋体"/>
                <w:szCs w:val="21"/>
              </w:rPr>
              <w:t>参加工作时间</w:t>
            </w:r>
          </w:p>
        </w:tc>
        <w:tc>
          <w:tcPr>
            <w:tcW w:w="2832" w:type="dxa"/>
            <w:gridSpan w:val="4"/>
            <w:vAlign w:val="center"/>
          </w:tcPr>
          <w:p>
            <w:pPr>
              <w:jc w:val="center"/>
              <w:rPr>
                <w:rFonts w:ascii="宋体" w:hAnsi="宋体" w:cs="宋体"/>
                <w:szCs w:val="21"/>
              </w:rPr>
            </w:pPr>
          </w:p>
        </w:tc>
        <w:tc>
          <w:tcPr>
            <w:tcW w:w="2671" w:type="dxa"/>
            <w:gridSpan w:val="3"/>
            <w:vAlign w:val="center"/>
          </w:tcPr>
          <w:p>
            <w:pPr>
              <w:jc w:val="center"/>
              <w:rPr>
                <w:rFonts w:ascii="宋体" w:hAnsi="宋体" w:cs="宋体"/>
                <w:szCs w:val="21"/>
              </w:rPr>
            </w:pPr>
            <w:r>
              <w:rPr>
                <w:rFonts w:hint="eastAsia" w:ascii="宋体" w:hAnsi="宋体" w:cs="宋体"/>
                <w:szCs w:val="21"/>
              </w:rPr>
              <w:t>从事项目经理年限</w:t>
            </w: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ascii="宋体" w:hAnsi="宋体" w:cs="宋体"/>
                <w:szCs w:val="21"/>
              </w:rPr>
            </w:pPr>
            <w:r>
              <w:rPr>
                <w:rFonts w:hint="eastAsia" w:ascii="宋体" w:hAnsi="宋体" w:cs="宋体"/>
                <w:szCs w:val="21"/>
              </w:rPr>
              <w:t>具有认证资质</w:t>
            </w:r>
          </w:p>
        </w:tc>
        <w:tc>
          <w:tcPr>
            <w:tcW w:w="6844" w:type="dxa"/>
            <w:gridSpan w:val="8"/>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9037" w:type="dxa"/>
            <w:gridSpan w:val="11"/>
            <w:vAlign w:val="center"/>
          </w:tcPr>
          <w:p>
            <w:pPr>
              <w:jc w:val="center"/>
              <w:rPr>
                <w:rFonts w:ascii="宋体" w:hAnsi="宋体" w:cs="宋体"/>
                <w:szCs w:val="21"/>
              </w:rPr>
            </w:pPr>
            <w:r>
              <w:rPr>
                <w:rFonts w:hint="eastAsia" w:ascii="宋体" w:hAnsi="宋体" w:cs="宋体"/>
                <w:szCs w:val="21"/>
              </w:rPr>
              <w:t>已完成工程项目情况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宋体"/>
                <w:szCs w:val="21"/>
              </w:rPr>
            </w:pPr>
            <w:r>
              <w:rPr>
                <w:rFonts w:hint="eastAsia" w:ascii="宋体" w:hAnsi="宋体" w:cs="宋体"/>
                <w:szCs w:val="21"/>
              </w:rPr>
              <w:t>建设单位</w:t>
            </w:r>
          </w:p>
        </w:tc>
        <w:tc>
          <w:tcPr>
            <w:tcW w:w="2093" w:type="dxa"/>
            <w:gridSpan w:val="3"/>
            <w:vAlign w:val="center"/>
          </w:tcPr>
          <w:p>
            <w:pPr>
              <w:jc w:val="center"/>
              <w:rPr>
                <w:rFonts w:ascii="宋体" w:hAnsi="宋体" w:cs="宋体"/>
                <w:szCs w:val="21"/>
              </w:rPr>
            </w:pPr>
            <w:r>
              <w:rPr>
                <w:rFonts w:hint="eastAsia" w:ascii="宋体" w:hAnsi="宋体" w:cs="宋体"/>
                <w:szCs w:val="21"/>
              </w:rPr>
              <w:t>项目名称</w:t>
            </w:r>
          </w:p>
        </w:tc>
        <w:tc>
          <w:tcPr>
            <w:tcW w:w="2101" w:type="dxa"/>
            <w:gridSpan w:val="3"/>
            <w:vAlign w:val="center"/>
          </w:tcPr>
          <w:p>
            <w:pPr>
              <w:jc w:val="center"/>
              <w:rPr>
                <w:rFonts w:ascii="宋体" w:hAnsi="宋体" w:cs="宋体"/>
                <w:szCs w:val="21"/>
              </w:rPr>
            </w:pPr>
            <w:r>
              <w:rPr>
                <w:rFonts w:hint="eastAsia" w:ascii="宋体" w:hAnsi="宋体" w:cs="宋体"/>
                <w:szCs w:val="21"/>
              </w:rPr>
              <w:t>建设规模</w:t>
            </w:r>
          </w:p>
        </w:tc>
        <w:tc>
          <w:tcPr>
            <w:tcW w:w="1822" w:type="dxa"/>
            <w:gridSpan w:val="2"/>
            <w:vAlign w:val="center"/>
          </w:tcPr>
          <w:p>
            <w:pPr>
              <w:jc w:val="center"/>
              <w:rPr>
                <w:rFonts w:ascii="宋体" w:hAnsi="宋体" w:cs="宋体"/>
                <w:szCs w:val="21"/>
              </w:rPr>
            </w:pPr>
            <w:r>
              <w:rPr>
                <w:rFonts w:hint="eastAsia" w:ascii="宋体" w:hAnsi="宋体" w:cs="宋体"/>
                <w:szCs w:val="21"/>
              </w:rPr>
              <w:t>竣工日期</w:t>
            </w:r>
          </w:p>
        </w:tc>
        <w:tc>
          <w:tcPr>
            <w:tcW w:w="1341" w:type="dxa"/>
            <w:vAlign w:val="center"/>
          </w:tcPr>
          <w:p>
            <w:pPr>
              <w:jc w:val="center"/>
              <w:rPr>
                <w:rFonts w:ascii="宋体" w:hAnsi="宋体" w:cs="宋体"/>
                <w:szCs w:val="21"/>
              </w:rPr>
            </w:pPr>
            <w:r>
              <w:rPr>
                <w:rFonts w:hint="eastAsia" w:ascii="宋体" w:hAnsi="宋体" w:cs="宋体"/>
                <w:szCs w:val="21"/>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7" w:hRule="exact"/>
          <w:jc w:val="center"/>
        </w:trPr>
        <w:tc>
          <w:tcPr>
            <w:tcW w:w="1680" w:type="dxa"/>
            <w:gridSpan w:val="2"/>
            <w:vAlign w:val="center"/>
          </w:tcPr>
          <w:p>
            <w:pPr>
              <w:jc w:val="center"/>
              <w:rPr>
                <w:rFonts w:ascii="宋体" w:hAnsi="宋体" w:cs="宋体"/>
                <w:szCs w:val="21"/>
              </w:rPr>
            </w:pPr>
          </w:p>
        </w:tc>
        <w:tc>
          <w:tcPr>
            <w:tcW w:w="2093" w:type="dxa"/>
            <w:gridSpan w:val="3"/>
            <w:vAlign w:val="center"/>
          </w:tcPr>
          <w:p>
            <w:pPr>
              <w:jc w:val="center"/>
              <w:rPr>
                <w:rFonts w:ascii="宋体" w:hAnsi="宋体" w:cs="宋体"/>
                <w:szCs w:val="21"/>
              </w:rPr>
            </w:pPr>
          </w:p>
        </w:tc>
        <w:tc>
          <w:tcPr>
            <w:tcW w:w="2101" w:type="dxa"/>
            <w:gridSpan w:val="3"/>
            <w:vAlign w:val="center"/>
          </w:tcPr>
          <w:p>
            <w:pPr>
              <w:jc w:val="center"/>
              <w:rPr>
                <w:rFonts w:ascii="宋体" w:hAnsi="宋体" w:cs="宋体"/>
                <w:szCs w:val="21"/>
              </w:rPr>
            </w:pPr>
          </w:p>
        </w:tc>
        <w:tc>
          <w:tcPr>
            <w:tcW w:w="1822" w:type="dxa"/>
            <w:gridSpan w:val="2"/>
            <w:vAlign w:val="center"/>
          </w:tcPr>
          <w:p>
            <w:pPr>
              <w:jc w:val="center"/>
              <w:rPr>
                <w:rFonts w:ascii="宋体" w:hAnsi="宋体" w:cs="宋体"/>
                <w:szCs w:val="21"/>
              </w:rPr>
            </w:pP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1" w:hRule="exact"/>
          <w:jc w:val="center"/>
        </w:trPr>
        <w:tc>
          <w:tcPr>
            <w:tcW w:w="1680" w:type="dxa"/>
            <w:gridSpan w:val="2"/>
            <w:vAlign w:val="center"/>
          </w:tcPr>
          <w:p>
            <w:pPr>
              <w:jc w:val="center"/>
              <w:rPr>
                <w:rFonts w:ascii="宋体" w:hAnsi="宋体" w:cs="宋体"/>
                <w:szCs w:val="21"/>
              </w:rPr>
            </w:pPr>
          </w:p>
        </w:tc>
        <w:tc>
          <w:tcPr>
            <w:tcW w:w="2093" w:type="dxa"/>
            <w:gridSpan w:val="3"/>
            <w:vAlign w:val="center"/>
          </w:tcPr>
          <w:p>
            <w:pPr>
              <w:jc w:val="center"/>
              <w:rPr>
                <w:rFonts w:ascii="宋体" w:hAnsi="宋体" w:cs="宋体"/>
                <w:szCs w:val="21"/>
              </w:rPr>
            </w:pPr>
          </w:p>
        </w:tc>
        <w:tc>
          <w:tcPr>
            <w:tcW w:w="2101" w:type="dxa"/>
            <w:gridSpan w:val="3"/>
            <w:vAlign w:val="center"/>
          </w:tcPr>
          <w:p>
            <w:pPr>
              <w:jc w:val="center"/>
              <w:rPr>
                <w:rFonts w:ascii="宋体" w:hAnsi="宋体" w:cs="宋体"/>
                <w:szCs w:val="21"/>
              </w:rPr>
            </w:pPr>
          </w:p>
        </w:tc>
        <w:tc>
          <w:tcPr>
            <w:tcW w:w="1822" w:type="dxa"/>
            <w:gridSpan w:val="2"/>
            <w:vAlign w:val="center"/>
          </w:tcPr>
          <w:p>
            <w:pPr>
              <w:jc w:val="center"/>
              <w:rPr>
                <w:rFonts w:ascii="宋体" w:hAnsi="宋体" w:cs="宋体"/>
                <w:szCs w:val="21"/>
              </w:rPr>
            </w:pPr>
          </w:p>
        </w:tc>
        <w:tc>
          <w:tcPr>
            <w:tcW w:w="1341"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exact"/>
          <w:jc w:val="center"/>
        </w:trPr>
        <w:tc>
          <w:tcPr>
            <w:tcW w:w="1680" w:type="dxa"/>
            <w:gridSpan w:val="2"/>
            <w:vAlign w:val="center"/>
          </w:tcPr>
          <w:p>
            <w:pPr>
              <w:jc w:val="center"/>
              <w:rPr>
                <w:rFonts w:ascii="宋体" w:hAnsi="宋体" w:cs="宋体"/>
                <w:szCs w:val="21"/>
              </w:rPr>
            </w:pPr>
          </w:p>
        </w:tc>
        <w:tc>
          <w:tcPr>
            <w:tcW w:w="2093" w:type="dxa"/>
            <w:gridSpan w:val="3"/>
            <w:vAlign w:val="center"/>
          </w:tcPr>
          <w:p>
            <w:pPr>
              <w:jc w:val="center"/>
              <w:rPr>
                <w:rFonts w:ascii="宋体" w:hAnsi="宋体" w:cs="宋体"/>
                <w:szCs w:val="21"/>
              </w:rPr>
            </w:pPr>
          </w:p>
        </w:tc>
        <w:tc>
          <w:tcPr>
            <w:tcW w:w="2101" w:type="dxa"/>
            <w:gridSpan w:val="3"/>
            <w:vAlign w:val="center"/>
          </w:tcPr>
          <w:p>
            <w:pPr>
              <w:jc w:val="center"/>
              <w:rPr>
                <w:rFonts w:ascii="宋体" w:hAnsi="宋体" w:cs="宋体"/>
                <w:szCs w:val="21"/>
              </w:rPr>
            </w:pPr>
          </w:p>
        </w:tc>
        <w:tc>
          <w:tcPr>
            <w:tcW w:w="1822" w:type="dxa"/>
            <w:gridSpan w:val="2"/>
            <w:vAlign w:val="center"/>
          </w:tcPr>
          <w:p>
            <w:pPr>
              <w:jc w:val="center"/>
              <w:rPr>
                <w:rFonts w:ascii="宋体" w:hAnsi="宋体" w:cs="宋体"/>
                <w:szCs w:val="21"/>
              </w:rPr>
            </w:pPr>
          </w:p>
        </w:tc>
        <w:tc>
          <w:tcPr>
            <w:tcW w:w="1341" w:type="dxa"/>
            <w:vAlign w:val="center"/>
          </w:tcPr>
          <w:p>
            <w:pPr>
              <w:jc w:val="center"/>
              <w:rPr>
                <w:rFonts w:ascii="宋体" w:hAnsi="宋体" w:cs="宋体"/>
                <w:szCs w:val="21"/>
              </w:rPr>
            </w:pPr>
          </w:p>
        </w:tc>
      </w:tr>
    </w:tbl>
    <w:p>
      <w:pPr>
        <w:spacing w:line="480" w:lineRule="exact"/>
        <w:rPr>
          <w:rFonts w:ascii="宋体" w:hAnsi="宋体" w:cs="宋体"/>
          <w:bCs/>
          <w:szCs w:val="21"/>
        </w:rPr>
      </w:pPr>
      <w:r>
        <w:rPr>
          <w:rFonts w:hint="eastAsia" w:ascii="宋体" w:hAnsi="宋体" w:cs="宋体"/>
          <w:bCs/>
          <w:szCs w:val="21"/>
        </w:rPr>
        <w:t>注：</w:t>
      </w:r>
      <w:r>
        <w:rPr>
          <w:rFonts w:hint="eastAsia" w:ascii="宋体" w:hAnsi="宋体" w:cs="宋体"/>
        </w:rPr>
        <w:t>（1）附项目负责人的相关资质证书复印件</w:t>
      </w:r>
      <w:r>
        <w:rPr>
          <w:rFonts w:hint="eastAsia" w:ascii="宋体" w:hAnsi="宋体" w:cs="宋体"/>
          <w:bCs/>
          <w:szCs w:val="21"/>
        </w:rPr>
        <w:t>（毕业证、职称证、资格证书）</w:t>
      </w:r>
    </w:p>
    <w:p>
      <w:pPr>
        <w:spacing w:line="480" w:lineRule="exact"/>
        <w:ind w:firstLine="420" w:firstLineChars="200"/>
        <w:rPr>
          <w:rFonts w:ascii="宋体" w:hAnsi="宋体" w:cs="宋体"/>
        </w:rPr>
      </w:pPr>
      <w:r>
        <w:rPr>
          <w:rFonts w:hint="eastAsia" w:ascii="宋体" w:hAnsi="宋体" w:cs="宋体"/>
        </w:rPr>
        <w:t>（2）要求项目负责人专注于本项目的实施和管理，在项目实施过程中，不能任意更换。</w:t>
      </w:r>
    </w:p>
    <w:p>
      <w:pPr>
        <w:spacing w:after="120"/>
        <w:ind w:left="420" w:leftChars="200"/>
        <w:rPr>
          <w:rFonts w:ascii="宋体" w:hAnsi="宋体" w:cs="宋体"/>
          <w:b/>
          <w:szCs w:val="21"/>
        </w:rPr>
      </w:pPr>
    </w:p>
    <w:p>
      <w:pPr>
        <w:spacing w:after="120"/>
        <w:ind w:left="420" w:leftChars="200"/>
        <w:rPr>
          <w:rFonts w:ascii="宋体" w:hAnsi="宋体" w:cs="宋体"/>
          <w:b/>
          <w:szCs w:val="21"/>
        </w:rPr>
      </w:pPr>
      <w:r>
        <w:rPr>
          <w:rFonts w:hint="eastAsia" w:ascii="宋体" w:hAnsi="宋体" w:cs="宋体"/>
          <w:b/>
          <w:szCs w:val="21"/>
        </w:rPr>
        <w:t>（二）</w:t>
      </w:r>
      <w:r>
        <w:rPr>
          <w:rFonts w:hint="eastAsia" w:ascii="宋体" w:hAnsi="宋体" w:cs="宋体"/>
          <w:b/>
          <w:sz w:val="24"/>
          <w:szCs w:val="24"/>
        </w:rPr>
        <w:t>技术人员情况表</w:t>
      </w:r>
    </w:p>
    <w:p>
      <w:pPr>
        <w:spacing w:line="360" w:lineRule="auto"/>
        <w:jc w:val="center"/>
        <w:rPr>
          <w:rFonts w:ascii="宋体" w:hAnsi="宋体" w:cs="宋体"/>
          <w:b/>
          <w:szCs w:val="21"/>
        </w:rPr>
      </w:pPr>
      <w:r>
        <w:rPr>
          <w:rFonts w:hint="eastAsia" w:ascii="宋体" w:hAnsi="宋体" w:cs="宋体"/>
          <w:b/>
          <w:szCs w:val="21"/>
        </w:rPr>
        <w:t>技术人员情况表</w:t>
      </w:r>
    </w:p>
    <w:tbl>
      <w:tblPr>
        <w:tblStyle w:val="26"/>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738"/>
        <w:gridCol w:w="1080"/>
        <w:gridCol w:w="1080"/>
        <w:gridCol w:w="1800"/>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exact"/>
          <w:jc w:val="center"/>
        </w:trPr>
        <w:tc>
          <w:tcPr>
            <w:tcW w:w="1049" w:type="dxa"/>
            <w:vAlign w:val="center"/>
          </w:tcPr>
          <w:p>
            <w:pPr>
              <w:jc w:val="center"/>
              <w:rPr>
                <w:rFonts w:ascii="宋体" w:hAnsi="宋体" w:cs="宋体"/>
                <w:b/>
                <w:szCs w:val="21"/>
              </w:rPr>
            </w:pPr>
            <w:r>
              <w:rPr>
                <w:rFonts w:hint="eastAsia" w:ascii="宋体" w:hAnsi="宋体" w:cs="宋体"/>
                <w:b/>
                <w:szCs w:val="21"/>
              </w:rPr>
              <w:t>序号</w:t>
            </w:r>
          </w:p>
        </w:tc>
        <w:tc>
          <w:tcPr>
            <w:tcW w:w="1738" w:type="dxa"/>
            <w:vAlign w:val="center"/>
          </w:tcPr>
          <w:p>
            <w:pPr>
              <w:jc w:val="center"/>
              <w:rPr>
                <w:rFonts w:ascii="宋体" w:hAnsi="宋体" w:cs="宋体"/>
                <w:b/>
                <w:szCs w:val="21"/>
              </w:rPr>
            </w:pPr>
            <w:r>
              <w:rPr>
                <w:rFonts w:hint="eastAsia" w:ascii="宋体" w:hAnsi="宋体" w:cs="宋体"/>
                <w:b/>
                <w:szCs w:val="21"/>
              </w:rPr>
              <w:t>姓名</w:t>
            </w:r>
          </w:p>
        </w:tc>
        <w:tc>
          <w:tcPr>
            <w:tcW w:w="1080" w:type="dxa"/>
            <w:vAlign w:val="center"/>
          </w:tcPr>
          <w:p>
            <w:pPr>
              <w:jc w:val="center"/>
              <w:rPr>
                <w:rFonts w:ascii="宋体" w:hAnsi="宋体" w:cs="宋体"/>
                <w:b/>
                <w:szCs w:val="21"/>
              </w:rPr>
            </w:pPr>
            <w:r>
              <w:rPr>
                <w:rFonts w:hint="eastAsia" w:ascii="宋体" w:hAnsi="宋体" w:cs="宋体"/>
                <w:b/>
                <w:szCs w:val="21"/>
              </w:rPr>
              <w:t>年龄</w:t>
            </w:r>
          </w:p>
        </w:tc>
        <w:tc>
          <w:tcPr>
            <w:tcW w:w="1080" w:type="dxa"/>
            <w:vAlign w:val="center"/>
          </w:tcPr>
          <w:p>
            <w:pPr>
              <w:jc w:val="center"/>
              <w:rPr>
                <w:rFonts w:ascii="宋体" w:hAnsi="宋体" w:cs="宋体"/>
                <w:b/>
                <w:szCs w:val="21"/>
              </w:rPr>
            </w:pPr>
            <w:r>
              <w:rPr>
                <w:rFonts w:hint="eastAsia" w:ascii="宋体" w:hAnsi="宋体" w:cs="宋体"/>
                <w:b/>
              </w:rPr>
              <w:t>职称</w:t>
            </w:r>
          </w:p>
        </w:tc>
        <w:tc>
          <w:tcPr>
            <w:tcW w:w="1800" w:type="dxa"/>
            <w:vAlign w:val="center"/>
          </w:tcPr>
          <w:p>
            <w:pPr>
              <w:jc w:val="center"/>
              <w:rPr>
                <w:rFonts w:ascii="宋体" w:hAnsi="宋体" w:cs="宋体"/>
                <w:b/>
                <w:szCs w:val="21"/>
              </w:rPr>
            </w:pPr>
            <w:r>
              <w:rPr>
                <w:rFonts w:hint="eastAsia" w:ascii="宋体" w:hAnsi="宋体" w:cs="宋体"/>
                <w:b/>
                <w:szCs w:val="21"/>
              </w:rPr>
              <w:t>本项目中职责</w:t>
            </w:r>
          </w:p>
        </w:tc>
        <w:tc>
          <w:tcPr>
            <w:tcW w:w="2493" w:type="dxa"/>
            <w:vAlign w:val="center"/>
          </w:tcPr>
          <w:p>
            <w:pPr>
              <w:jc w:val="center"/>
              <w:rPr>
                <w:rFonts w:ascii="宋体" w:hAnsi="宋体" w:cs="宋体"/>
                <w:b/>
                <w:szCs w:val="21"/>
              </w:rPr>
            </w:pPr>
            <w:r>
              <w:rPr>
                <w:rFonts w:hint="eastAsia" w:ascii="宋体" w:hAnsi="宋体" w:cs="宋体"/>
                <w:b/>
                <w:szCs w:val="21"/>
              </w:rPr>
              <w:t>主要项目经验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ascii="宋体" w:hAnsi="宋体" w:cs="宋体"/>
                <w:szCs w:val="21"/>
              </w:rPr>
            </w:pPr>
            <w:r>
              <w:rPr>
                <w:rFonts w:hint="eastAsia" w:ascii="宋体" w:hAnsi="宋体" w:cs="宋体"/>
                <w:szCs w:val="21"/>
              </w:rPr>
              <w:t>1</w:t>
            </w:r>
          </w:p>
        </w:tc>
        <w:tc>
          <w:tcPr>
            <w:tcW w:w="1738" w:type="dxa"/>
            <w:vAlign w:val="center"/>
          </w:tcPr>
          <w:p>
            <w:pPr>
              <w:jc w:val="center"/>
              <w:rPr>
                <w:rFonts w:ascii="宋体" w:hAnsi="宋体" w:cs="宋体"/>
                <w:szCs w:val="21"/>
              </w:rPr>
            </w:pPr>
          </w:p>
        </w:tc>
        <w:tc>
          <w:tcPr>
            <w:tcW w:w="1080" w:type="dxa"/>
          </w:tcPr>
          <w:p>
            <w:pPr>
              <w:jc w:val="center"/>
              <w:rPr>
                <w:rFonts w:ascii="宋体" w:hAnsi="宋体" w:cs="宋体"/>
                <w:szCs w:val="21"/>
              </w:rPr>
            </w:pPr>
          </w:p>
        </w:tc>
        <w:tc>
          <w:tcPr>
            <w:tcW w:w="1080" w:type="dxa"/>
            <w:vAlign w:val="center"/>
          </w:tcPr>
          <w:p>
            <w:pPr>
              <w:jc w:val="center"/>
              <w:rPr>
                <w:rFonts w:ascii="宋体" w:hAnsi="宋体" w:cs="宋体"/>
                <w:szCs w:val="21"/>
              </w:rPr>
            </w:pPr>
          </w:p>
        </w:tc>
        <w:tc>
          <w:tcPr>
            <w:tcW w:w="1800" w:type="dxa"/>
            <w:vAlign w:val="center"/>
          </w:tcPr>
          <w:p>
            <w:pPr>
              <w:jc w:val="center"/>
              <w:rPr>
                <w:rFonts w:ascii="宋体" w:hAnsi="宋体" w:cs="宋体"/>
                <w:szCs w:val="21"/>
              </w:rPr>
            </w:pPr>
          </w:p>
        </w:tc>
        <w:tc>
          <w:tcPr>
            <w:tcW w:w="2493"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ascii="宋体" w:hAnsi="宋体" w:cs="宋体"/>
                <w:szCs w:val="21"/>
              </w:rPr>
            </w:pPr>
            <w:r>
              <w:rPr>
                <w:rFonts w:hint="eastAsia" w:ascii="宋体" w:hAnsi="宋体" w:cs="宋体"/>
                <w:szCs w:val="21"/>
              </w:rPr>
              <w:t>2</w:t>
            </w:r>
          </w:p>
        </w:tc>
        <w:tc>
          <w:tcPr>
            <w:tcW w:w="1738" w:type="dxa"/>
            <w:vAlign w:val="center"/>
          </w:tcPr>
          <w:p>
            <w:pPr>
              <w:jc w:val="center"/>
              <w:rPr>
                <w:rFonts w:ascii="宋体" w:hAnsi="宋体" w:cs="宋体"/>
                <w:szCs w:val="21"/>
              </w:rPr>
            </w:pPr>
          </w:p>
        </w:tc>
        <w:tc>
          <w:tcPr>
            <w:tcW w:w="1080" w:type="dxa"/>
          </w:tcPr>
          <w:p>
            <w:pPr>
              <w:jc w:val="center"/>
              <w:rPr>
                <w:rFonts w:ascii="宋体" w:hAnsi="宋体" w:cs="宋体"/>
                <w:szCs w:val="21"/>
              </w:rPr>
            </w:pPr>
          </w:p>
        </w:tc>
        <w:tc>
          <w:tcPr>
            <w:tcW w:w="1080" w:type="dxa"/>
            <w:vAlign w:val="center"/>
          </w:tcPr>
          <w:p>
            <w:pPr>
              <w:jc w:val="center"/>
              <w:rPr>
                <w:rFonts w:ascii="宋体" w:hAnsi="宋体" w:cs="宋体"/>
                <w:szCs w:val="21"/>
              </w:rPr>
            </w:pPr>
          </w:p>
        </w:tc>
        <w:tc>
          <w:tcPr>
            <w:tcW w:w="1800" w:type="dxa"/>
            <w:vAlign w:val="center"/>
          </w:tcPr>
          <w:p>
            <w:pPr>
              <w:jc w:val="center"/>
              <w:rPr>
                <w:rFonts w:ascii="宋体" w:hAnsi="宋体" w:cs="宋体"/>
                <w:szCs w:val="21"/>
              </w:rPr>
            </w:pPr>
          </w:p>
        </w:tc>
        <w:tc>
          <w:tcPr>
            <w:tcW w:w="2493"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ascii="宋体" w:hAnsi="宋体" w:cs="宋体"/>
                <w:szCs w:val="21"/>
              </w:rPr>
            </w:pPr>
            <w:r>
              <w:rPr>
                <w:rFonts w:hint="eastAsia" w:ascii="宋体" w:hAnsi="宋体" w:cs="宋体"/>
                <w:szCs w:val="21"/>
              </w:rPr>
              <w:t>3</w:t>
            </w:r>
          </w:p>
        </w:tc>
        <w:tc>
          <w:tcPr>
            <w:tcW w:w="1738" w:type="dxa"/>
            <w:vAlign w:val="center"/>
          </w:tcPr>
          <w:p>
            <w:pPr>
              <w:jc w:val="center"/>
              <w:rPr>
                <w:rFonts w:ascii="宋体" w:hAnsi="宋体" w:cs="宋体"/>
                <w:szCs w:val="21"/>
              </w:rPr>
            </w:pPr>
          </w:p>
        </w:tc>
        <w:tc>
          <w:tcPr>
            <w:tcW w:w="1080" w:type="dxa"/>
          </w:tcPr>
          <w:p>
            <w:pPr>
              <w:jc w:val="center"/>
              <w:rPr>
                <w:rFonts w:ascii="宋体" w:hAnsi="宋体" w:cs="宋体"/>
                <w:szCs w:val="21"/>
              </w:rPr>
            </w:pPr>
          </w:p>
        </w:tc>
        <w:tc>
          <w:tcPr>
            <w:tcW w:w="1080" w:type="dxa"/>
            <w:vAlign w:val="center"/>
          </w:tcPr>
          <w:p>
            <w:pPr>
              <w:jc w:val="center"/>
              <w:rPr>
                <w:rFonts w:ascii="宋体" w:hAnsi="宋体" w:cs="宋体"/>
                <w:szCs w:val="21"/>
              </w:rPr>
            </w:pPr>
          </w:p>
        </w:tc>
        <w:tc>
          <w:tcPr>
            <w:tcW w:w="1800" w:type="dxa"/>
            <w:vAlign w:val="center"/>
          </w:tcPr>
          <w:p>
            <w:pPr>
              <w:jc w:val="center"/>
              <w:rPr>
                <w:rFonts w:ascii="宋体" w:hAnsi="宋体" w:cs="宋体"/>
                <w:szCs w:val="21"/>
              </w:rPr>
            </w:pPr>
          </w:p>
        </w:tc>
        <w:tc>
          <w:tcPr>
            <w:tcW w:w="2493" w:type="dxa"/>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ascii="宋体" w:hAnsi="宋体" w:cs="宋体"/>
                <w:szCs w:val="21"/>
              </w:rPr>
            </w:pPr>
            <w:r>
              <w:rPr>
                <w:rFonts w:hint="eastAsia" w:ascii="宋体" w:hAnsi="宋体" w:cs="宋体"/>
                <w:szCs w:val="21"/>
              </w:rPr>
              <w:t>….</w:t>
            </w:r>
          </w:p>
        </w:tc>
        <w:tc>
          <w:tcPr>
            <w:tcW w:w="1738" w:type="dxa"/>
            <w:vAlign w:val="center"/>
          </w:tcPr>
          <w:p>
            <w:pPr>
              <w:jc w:val="center"/>
              <w:rPr>
                <w:rFonts w:ascii="宋体" w:hAnsi="宋体" w:cs="宋体"/>
                <w:szCs w:val="21"/>
              </w:rPr>
            </w:pPr>
          </w:p>
        </w:tc>
        <w:tc>
          <w:tcPr>
            <w:tcW w:w="1080" w:type="dxa"/>
          </w:tcPr>
          <w:p>
            <w:pPr>
              <w:jc w:val="center"/>
              <w:rPr>
                <w:rFonts w:ascii="宋体" w:hAnsi="宋体" w:cs="宋体"/>
                <w:szCs w:val="21"/>
              </w:rPr>
            </w:pPr>
          </w:p>
        </w:tc>
        <w:tc>
          <w:tcPr>
            <w:tcW w:w="1080" w:type="dxa"/>
            <w:vAlign w:val="center"/>
          </w:tcPr>
          <w:p>
            <w:pPr>
              <w:jc w:val="center"/>
              <w:rPr>
                <w:rFonts w:ascii="宋体" w:hAnsi="宋体" w:cs="宋体"/>
                <w:szCs w:val="21"/>
              </w:rPr>
            </w:pPr>
          </w:p>
        </w:tc>
        <w:tc>
          <w:tcPr>
            <w:tcW w:w="1800" w:type="dxa"/>
            <w:vAlign w:val="center"/>
          </w:tcPr>
          <w:p>
            <w:pPr>
              <w:jc w:val="center"/>
              <w:rPr>
                <w:rFonts w:ascii="宋体" w:hAnsi="宋体" w:cs="宋体"/>
                <w:szCs w:val="21"/>
              </w:rPr>
            </w:pPr>
          </w:p>
        </w:tc>
        <w:tc>
          <w:tcPr>
            <w:tcW w:w="2493" w:type="dxa"/>
            <w:vAlign w:val="center"/>
          </w:tcPr>
          <w:p>
            <w:pPr>
              <w:jc w:val="center"/>
              <w:rPr>
                <w:rFonts w:ascii="宋体" w:hAnsi="宋体" w:cs="宋体"/>
                <w:szCs w:val="21"/>
              </w:rPr>
            </w:pPr>
          </w:p>
        </w:tc>
      </w:tr>
    </w:tbl>
    <w:p>
      <w:pPr>
        <w:spacing w:line="480" w:lineRule="exact"/>
        <w:ind w:left="926" w:hanging="926" w:hangingChars="441"/>
        <w:rPr>
          <w:rFonts w:ascii="宋体" w:hAnsi="宋体" w:cs="宋体"/>
          <w:szCs w:val="21"/>
        </w:rPr>
      </w:pPr>
      <w:r>
        <w:rPr>
          <w:rFonts w:hint="eastAsia" w:ascii="宋体" w:hAnsi="宋体" w:cs="宋体"/>
          <w:szCs w:val="21"/>
        </w:rPr>
        <w:t>注：提供所有参与本项目人员的身份证明、相应资格证书等材料的复印件；</w:t>
      </w:r>
    </w:p>
    <w:p>
      <w:pPr>
        <w:spacing w:line="480" w:lineRule="exact"/>
        <w:ind w:left="930" w:hanging="930" w:hangingChars="441"/>
        <w:rPr>
          <w:rFonts w:ascii="宋体" w:hAnsi="宋体" w:cs="宋体"/>
        </w:rPr>
      </w:pPr>
      <w:r>
        <w:rPr>
          <w:rFonts w:hint="eastAsia" w:ascii="宋体" w:hAnsi="宋体" w:cs="宋体"/>
          <w:b/>
          <w:szCs w:val="21"/>
        </w:rPr>
        <w:t xml:space="preserve">                                           </w:t>
      </w:r>
      <w:r>
        <w:rPr>
          <w:rFonts w:hint="eastAsia" w:ascii="宋体" w:hAnsi="宋体" w:cs="宋体"/>
        </w:rPr>
        <w:t xml:space="preserve"> 报价人（公章）：</w:t>
      </w:r>
    </w:p>
    <w:p>
      <w:pPr>
        <w:tabs>
          <w:tab w:val="left" w:pos="676"/>
          <w:tab w:val="left" w:pos="2330"/>
          <w:tab w:val="left" w:pos="9230"/>
        </w:tabs>
        <w:autoSpaceDE w:val="0"/>
        <w:autoSpaceDN w:val="0"/>
        <w:adjustRightInd w:val="0"/>
        <w:spacing w:line="480" w:lineRule="exact"/>
        <w:ind w:left="4700" w:leftChars="2238"/>
        <w:rPr>
          <w:rFonts w:ascii="宋体" w:hAnsi="宋体" w:cs="宋体"/>
        </w:rPr>
      </w:pPr>
      <w:r>
        <w:rPr>
          <w:rFonts w:hint="eastAsia" w:ascii="宋体" w:hAnsi="宋体" w:cs="宋体"/>
        </w:rPr>
        <w:t>授权代表（签名或盖章）：</w:t>
      </w:r>
    </w:p>
    <w:p>
      <w:pPr>
        <w:spacing w:line="480" w:lineRule="exact"/>
        <w:ind w:left="1046" w:leftChars="498" w:firstLine="3693" w:firstLineChars="1759"/>
        <w:rPr>
          <w:rFonts w:ascii="宋体" w:hAnsi="宋体"/>
          <w:szCs w:val="21"/>
        </w:rPr>
      </w:pPr>
      <w:r>
        <w:rPr>
          <w:rFonts w:hint="eastAsia" w:ascii="宋体" w:hAnsi="宋体" w:cs="宋体"/>
        </w:rPr>
        <w:t>日      期：</w:t>
      </w:r>
    </w:p>
    <w:p>
      <w:pPr>
        <w:spacing w:line="360" w:lineRule="auto"/>
        <w:rPr>
          <w:rFonts w:ascii="宋体"/>
        </w:rPr>
      </w:pPr>
      <w:r>
        <w:rPr>
          <w:rFonts w:ascii="宋体"/>
        </w:rPr>
        <w:t xml:space="preserve"> </w:t>
      </w:r>
    </w:p>
    <w:p>
      <w:pPr>
        <w:spacing w:line="360" w:lineRule="auto"/>
        <w:rPr>
          <w:rFonts w:ascii="宋体"/>
        </w:rPr>
      </w:pPr>
    </w:p>
    <w:p>
      <w:pPr>
        <w:spacing w:line="480" w:lineRule="exact"/>
        <w:rPr>
          <w:rFonts w:ascii="宋体" w:hAnsi="宋体"/>
          <w:b/>
          <w:sz w:val="28"/>
          <w:szCs w:val="28"/>
        </w:rPr>
      </w:pPr>
      <w:bookmarkStart w:id="39" w:name="_Toc42956290"/>
      <w:r>
        <w:rPr>
          <w:rFonts w:hint="eastAsia" w:ascii="宋体" w:hAnsi="宋体"/>
          <w:b/>
          <w:sz w:val="28"/>
          <w:szCs w:val="28"/>
        </w:rPr>
        <w:t>9.4   采购人配合条件</w:t>
      </w:r>
      <w:bookmarkEnd w:id="39"/>
    </w:p>
    <w:p>
      <w:pPr>
        <w:spacing w:line="480" w:lineRule="exact"/>
        <w:rPr>
          <w:rFonts w:ascii="宋体"/>
          <w:b/>
          <w:sz w:val="24"/>
        </w:rPr>
      </w:pPr>
    </w:p>
    <w:p>
      <w:pPr>
        <w:spacing w:line="480" w:lineRule="exact"/>
        <w:jc w:val="center"/>
        <w:rPr>
          <w:rFonts w:ascii="宋体"/>
          <w:b/>
          <w:bCs/>
          <w:sz w:val="28"/>
        </w:rPr>
      </w:pPr>
      <w:r>
        <w:rPr>
          <w:rFonts w:hint="eastAsia" w:ascii="宋体"/>
          <w:b/>
          <w:bCs/>
          <w:sz w:val="28"/>
        </w:rPr>
        <w:t xml:space="preserve"> 采购人配合的条件</w:t>
      </w:r>
    </w:p>
    <w:p>
      <w:pPr>
        <w:spacing w:line="480" w:lineRule="exact"/>
        <w:jc w:val="center"/>
        <w:rPr>
          <w:rFonts w:ascii="宋体"/>
        </w:rPr>
      </w:pPr>
    </w:p>
    <w:p>
      <w:pPr>
        <w:spacing w:line="480" w:lineRule="exact"/>
        <w:ind w:firstLine="403"/>
        <w:rPr>
          <w:rFonts w:ascii="宋体"/>
        </w:rPr>
      </w:pPr>
      <w:r>
        <w:rPr>
          <w:rFonts w:hint="eastAsia"/>
        </w:rPr>
        <w:t>为配合本项目计划进度时间表所进行的各阶段工作，报价人必须列明需采购人配合的工作内容和具体要求。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360" w:lineRule="auto"/>
        <w:ind w:firstLine="4830" w:firstLineChars="2300"/>
        <w:rPr>
          <w:rFonts w:ascii="宋体"/>
          <w:bCs/>
        </w:rPr>
      </w:pPr>
      <w:r>
        <w:rPr>
          <w:rFonts w:hint="eastAsia" w:ascii="宋体"/>
          <w:bCs/>
        </w:rPr>
        <w:t>报 价 人（法人公章）：</w:t>
      </w:r>
    </w:p>
    <w:p>
      <w:pPr>
        <w:spacing w:line="360" w:lineRule="auto"/>
        <w:rPr>
          <w:rFonts w:ascii="宋体"/>
          <w:bCs/>
        </w:rPr>
      </w:pPr>
    </w:p>
    <w:p>
      <w:pPr>
        <w:spacing w:line="360" w:lineRule="auto"/>
        <w:ind w:firstLine="4830" w:firstLineChars="2300"/>
        <w:rPr>
          <w:rFonts w:ascii="宋体"/>
          <w:bCs/>
        </w:rPr>
      </w:pPr>
      <w:r>
        <w:rPr>
          <w:rFonts w:hint="eastAsia" w:ascii="宋体"/>
          <w:bCs/>
        </w:rPr>
        <w:t>授权代表（签字）：</w:t>
      </w:r>
    </w:p>
    <w:p>
      <w:pPr>
        <w:spacing w:line="360" w:lineRule="auto"/>
        <w:rPr>
          <w:rFonts w:ascii="宋体"/>
          <w:bCs/>
        </w:rPr>
      </w:pPr>
    </w:p>
    <w:p>
      <w:pPr>
        <w:spacing w:line="360" w:lineRule="auto"/>
        <w:ind w:firstLine="4830" w:firstLineChars="2300"/>
        <w:rPr>
          <w:rFonts w:ascii="宋体"/>
          <w:bCs/>
        </w:rPr>
      </w:pPr>
      <w:r>
        <w:rPr>
          <w:rFonts w:hint="eastAsia" w:ascii="宋体"/>
          <w:bCs/>
        </w:rPr>
        <w:t>日    期：</w:t>
      </w: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bookmarkStart w:id="40" w:name="_Hlt10567911"/>
      <w:bookmarkEnd w:id="40"/>
    </w:p>
    <w:p>
      <w:pPr>
        <w:pStyle w:val="14"/>
        <w:spacing w:line="20" w:lineRule="exact"/>
        <w:outlineLvl w:val="0"/>
      </w:pPr>
      <w:r>
        <w:br w:type="page"/>
      </w:r>
      <w:bookmarkStart w:id="41" w:name="_Hlt10523642"/>
      <w:bookmarkEnd w:id="41"/>
    </w:p>
    <w:p>
      <w:pPr>
        <w:pStyle w:val="14"/>
        <w:spacing w:line="20" w:lineRule="exact"/>
        <w:outlineLvl w:val="0"/>
        <w:rPr>
          <w:b/>
          <w:sz w:val="44"/>
          <w:szCs w:val="44"/>
        </w:rPr>
      </w:pPr>
    </w:p>
    <w:p>
      <w:pPr>
        <w:pStyle w:val="14"/>
        <w:spacing w:line="400" w:lineRule="atLeast"/>
        <w:outlineLvl w:val="0"/>
        <w:rPr>
          <w:rFonts w:ascii="Tahoma" w:hAnsi="Tahoma" w:cs="Tahoma"/>
          <w:sz w:val="24"/>
        </w:rPr>
      </w:pPr>
      <w:r>
        <w:rPr>
          <w:rFonts w:hint="eastAsia" w:ascii="Times New Roman" w:hAnsi="Times New Roman"/>
          <w:b/>
          <w:bCs/>
          <w:kern w:val="44"/>
          <w:sz w:val="32"/>
          <w:szCs w:val="32"/>
        </w:rPr>
        <w:t>10</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4"/>
        <w:spacing w:line="400" w:lineRule="atLeast"/>
        <w:jc w:val="center"/>
        <w:rPr>
          <w:rFonts w:hAnsi="宋体"/>
          <w:b/>
          <w:sz w:val="24"/>
        </w:rPr>
      </w:pPr>
      <w:r>
        <w:rPr>
          <w:rFonts w:hint="eastAsia" w:hAnsi="宋体"/>
          <w:b/>
          <w:sz w:val="24"/>
        </w:rPr>
        <w:t>同意磋商文件条款声明</w:t>
      </w:r>
      <w:r>
        <w:rPr>
          <w:rFonts w:hint="eastAsia" w:hAnsi="宋体"/>
          <w:b/>
          <w:sz w:val="24"/>
        </w:rPr>
        <w:cr/>
      </w:r>
    </w:p>
    <w:p>
      <w:pPr>
        <w:pStyle w:val="14"/>
        <w:spacing w:line="400" w:lineRule="atLeast"/>
        <w:rPr>
          <w:rFonts w:hAnsi="宋体"/>
        </w:rPr>
      </w:pPr>
      <w:r>
        <w:rPr>
          <w:rFonts w:hint="eastAsia" w:hAnsi="宋体"/>
          <w:b/>
        </w:rPr>
        <w:t>致:广东晓君招标采购代理有限公司</w:t>
      </w:r>
    </w:p>
    <w:p>
      <w:pPr>
        <w:pStyle w:val="14"/>
        <w:spacing w:line="400" w:lineRule="atLeast"/>
        <w:rPr>
          <w:rFonts w:hAnsi="宋体"/>
        </w:rPr>
      </w:pPr>
    </w:p>
    <w:p>
      <w:pPr>
        <w:pStyle w:val="14"/>
        <w:spacing w:line="400" w:lineRule="atLeast"/>
        <w:ind w:firstLine="420"/>
        <w:rPr>
          <w:rFonts w:hAnsi="宋体"/>
        </w:rPr>
      </w:pPr>
      <w:r>
        <w:rPr>
          <w:rFonts w:hint="eastAsia" w:hAnsi="宋体"/>
        </w:rPr>
        <w:t>为响应你方组织的</w:t>
      </w:r>
      <w:r>
        <w:rPr>
          <w:rFonts w:hint="eastAsia" w:cs="宋体"/>
          <w:b/>
          <w:bCs/>
          <w:szCs w:val="21"/>
          <w:u w:val="single"/>
        </w:rPr>
        <w:t>云浮市云城区臻汇园碧湖新城住宅小区（A区）物业管理服务项目</w:t>
      </w:r>
      <w:r>
        <w:rPr>
          <w:rFonts w:hint="eastAsia" w:cs="宋体"/>
          <w:szCs w:val="21"/>
          <w:u w:val="single"/>
        </w:rPr>
        <w:t xml:space="preserve">  </w:t>
      </w:r>
      <w:r>
        <w:rPr>
          <w:rFonts w:hint="eastAsia" w:hAnsi="宋体"/>
          <w:kern w:val="28"/>
        </w:rPr>
        <w:t>的</w:t>
      </w:r>
      <w:r>
        <w:rPr>
          <w:rFonts w:hint="eastAsia" w:hAnsi="宋体"/>
        </w:rPr>
        <w:t>供货及相关服务的竞争性磋商[编号为：</w:t>
      </w:r>
      <w:r>
        <w:rPr>
          <w:rFonts w:hint="eastAsia"/>
          <w:szCs w:val="21"/>
          <w:u w:val="single"/>
        </w:rPr>
        <w:t xml:space="preserve"> </w:t>
      </w:r>
      <w:r>
        <w:rPr>
          <w:rFonts w:hint="eastAsia"/>
          <w:b/>
          <w:bCs/>
          <w:szCs w:val="21"/>
          <w:u w:val="single"/>
        </w:rPr>
        <w:t xml:space="preserve"> GDXJ19FCS1001</w:t>
      </w:r>
      <w:r>
        <w:rPr>
          <w:rFonts w:hint="eastAsia"/>
          <w:szCs w:val="21"/>
          <w:u w:val="single"/>
        </w:rPr>
        <w:t xml:space="preserve">  </w:t>
      </w:r>
      <w:r>
        <w:rPr>
          <w:rFonts w:hint="eastAsia" w:hAnsi="宋体"/>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rPr>
      </w:pPr>
      <w:r>
        <w:rPr>
          <w:rFonts w:hint="eastAsia" w:hAnsi="宋体"/>
        </w:rPr>
        <w:t xml:space="preserve">    特此声明。</w:t>
      </w: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r>
        <w:rPr>
          <w:rFonts w:hint="eastAsia" w:hAnsi="宋体"/>
        </w:rPr>
        <w:t>报价（报价）人（公章）：</w:t>
      </w:r>
      <w:r>
        <w:rPr>
          <w:rFonts w:hint="eastAsia" w:hAnsi="宋体"/>
          <w:u w:val="single"/>
        </w:rPr>
        <w:t xml:space="preserve">                       .</w:t>
      </w:r>
    </w:p>
    <w:p>
      <w:pPr>
        <w:pStyle w:val="14"/>
        <w:spacing w:line="400" w:lineRule="atLeast"/>
        <w:rPr>
          <w:rFonts w:hAnsi="宋体"/>
        </w:rPr>
      </w:pPr>
    </w:p>
    <w:p>
      <w:pPr>
        <w:pStyle w:val="14"/>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4"/>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4"/>
        <w:spacing w:line="20" w:lineRule="exact"/>
        <w:rPr>
          <w:sz w:val="36"/>
        </w:rPr>
      </w:pPr>
      <w:r>
        <w:rPr>
          <w:sz w:val="36"/>
        </w:rPr>
        <w:br w:type="page"/>
      </w:r>
    </w:p>
    <w:p>
      <w:pPr>
        <w:pStyle w:val="14"/>
        <w:spacing w:line="20" w:lineRule="exact"/>
        <w:rPr>
          <w:szCs w:val="21"/>
        </w:rPr>
      </w:pPr>
    </w:p>
    <w:p>
      <w:pPr>
        <w:pStyle w:val="2"/>
        <w:spacing w:line="480" w:lineRule="exact"/>
        <w:rPr>
          <w:sz w:val="32"/>
          <w:szCs w:val="32"/>
        </w:rPr>
      </w:pPr>
      <w:bookmarkStart w:id="42" w:name="_Hlt10524029"/>
      <w:bookmarkEnd w:id="42"/>
      <w:bookmarkStart w:id="43" w:name="_Hlt10524018"/>
      <w:bookmarkEnd w:id="43"/>
      <w:bookmarkStart w:id="44" w:name="_Hlt10462525"/>
      <w:bookmarkEnd w:id="44"/>
      <w:bookmarkStart w:id="45" w:name="_Hlt10524010"/>
      <w:bookmarkEnd w:id="45"/>
      <w:bookmarkStart w:id="46" w:name="_Hlt10529670"/>
      <w:bookmarkEnd w:id="46"/>
      <w:bookmarkStart w:id="47" w:name="_Toc42951061"/>
      <w:bookmarkStart w:id="48" w:name="_Toc4471835"/>
      <w:r>
        <w:rPr>
          <w:rFonts w:hint="eastAsia"/>
          <w:sz w:val="32"/>
          <w:szCs w:val="32"/>
        </w:rPr>
        <w:t>11．报价信封</w:t>
      </w:r>
      <w:bookmarkEnd w:id="47"/>
    </w:p>
    <w:p>
      <w:pPr>
        <w:spacing w:line="480" w:lineRule="exact"/>
        <w:rPr>
          <w:rFonts w:ascii="宋体"/>
          <w:b/>
          <w:sz w:val="32"/>
        </w:rPr>
      </w:pPr>
      <w:r>
        <w:rPr>
          <w:rFonts w:hint="eastAsia" w:ascii="宋体"/>
          <w:b/>
          <w:sz w:val="32"/>
        </w:rPr>
        <w:t>报价信封内装：</w:t>
      </w:r>
    </w:p>
    <w:p>
      <w:pPr>
        <w:spacing w:line="480" w:lineRule="exact"/>
        <w:rPr>
          <w:rFonts w:ascii="宋体"/>
        </w:rPr>
      </w:pPr>
      <w:r>
        <w:rPr>
          <w:rFonts w:hint="eastAsia" w:ascii="宋体"/>
        </w:rPr>
        <w:t>11.1 报价保证金交付收据复印件；</w:t>
      </w:r>
    </w:p>
    <w:p>
      <w:pPr>
        <w:spacing w:line="480" w:lineRule="exact"/>
        <w:rPr>
          <w:rFonts w:ascii="宋体"/>
        </w:rPr>
      </w:pPr>
      <w:r>
        <w:rPr>
          <w:rFonts w:hint="eastAsia" w:ascii="宋体"/>
        </w:rPr>
        <w:t>11.2 退保证金说明（正本）；</w:t>
      </w:r>
    </w:p>
    <w:bookmarkEnd w:id="48"/>
    <w:p>
      <w:pPr>
        <w:spacing w:line="480" w:lineRule="exact"/>
        <w:rPr>
          <w:rFonts w:ascii="宋体"/>
        </w:rPr>
      </w:pPr>
    </w:p>
    <w:p>
      <w:pPr>
        <w:spacing w:line="480" w:lineRule="exact"/>
        <w:rPr>
          <w:rFonts w:ascii="宋体"/>
        </w:rPr>
      </w:pPr>
    </w:p>
    <w:p>
      <w:pPr>
        <w:spacing w:before="120" w:line="360" w:lineRule="auto"/>
        <w:ind w:firstLine="4830" w:firstLineChars="2300"/>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华文新魏">
    <w:altName w:val="宋体"/>
    <w:panose1 w:val="0201080004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5</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13</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pPr>
    <w:r>
      <w:rPr>
        <w:rFonts w:hint="eastAsia" w:ascii="宋体"/>
      </w:rPr>
      <w:t>广东晓君招标采购代理有限公司</w:t>
    </w:r>
    <w:r>
      <w:rPr>
        <w:rFonts w:hint="eastAsia"/>
      </w:rPr>
      <w:t xml:space="preserve">                                                     </w:t>
    </w:r>
    <w:r>
      <w:rPr>
        <w:rFonts w:hint="eastAsia"/>
        <w:sz w:val="21"/>
        <w:szCs w:val="21"/>
      </w:rPr>
      <w:t xml:space="preserve"> 3-</w:t>
    </w:r>
    <w:r>
      <w:rPr>
        <w:sz w:val="21"/>
        <w:szCs w:val="21"/>
      </w:rPr>
      <w:fldChar w:fldCharType="begin"/>
    </w:r>
    <w:r>
      <w:rPr>
        <w:rStyle w:val="29"/>
        <w:sz w:val="21"/>
        <w:szCs w:val="21"/>
      </w:rPr>
      <w:instrText xml:space="preserve"> PAGE </w:instrText>
    </w:r>
    <w:r>
      <w:rPr>
        <w:sz w:val="21"/>
        <w:szCs w:val="21"/>
      </w:rPr>
      <w:fldChar w:fldCharType="separate"/>
    </w:r>
    <w:r>
      <w:rPr>
        <w:rStyle w:val="29"/>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5362575"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3-</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6</w:t>
                          </w:r>
                          <w:r>
                            <w:rPr>
                              <w:rFonts w:ascii="宋体" w:hAnsi="宋体"/>
                            </w:rPr>
                            <w:fldChar w:fldCharType="end"/>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422.25pt;mso-position-horizontal:center;mso-position-horizontal-relative:margin;z-index:251657216;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SeDLbWAAAABQEAAA8AAAAAAAAAAQAgAAAAIgAAAGRycy9kb3ducmV2LnhtbFBLAQIUABQAAAAI&#10;AIdO4kA9eb+dtgEAAEwDAAAOAAAAAAAAAAEAIAAAACUBAABkcnMvZTJvRG9jLnhtbFBLBQYAAAAA&#10;BgAGAFkBAABNBQ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3-</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6</w:t>
                    </w:r>
                    <w:r>
                      <w:rPr>
                        <w:rFonts w:ascii="宋体" w:hAnsi="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362575" cy="1828800"/>
              <wp:effectExtent l="0" t="0" r="0" b="0"/>
              <wp:wrapNone/>
              <wp:docPr id="5" name="文本框 1026"/>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4-</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422.25pt;mso-position-horizontal:center;mso-position-horizontal-relative:margin;z-index:251658240;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SeDLbWAAAABQEAAA8AAAAAAAAAAQAgAAAAIgAAAGRycy9kb3ducmV2LnhtbFBLAQIUABQAAAAI&#10;AIdO4kAb7wUBtgEAAEwDAAAOAAAAAAAAAAEAIAAAACUBAABkcnMvZTJvRG9jLnhtbFBLBQYAAAAA&#10;BgAGAFkBAABNBQ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4-</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362575"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5</w:t>
                          </w:r>
                          <w:r>
                            <w:rPr>
                              <w:rFonts w:hint="eastAsia" w:ascii="宋体" w:hAnsi="宋体"/>
                            </w:rPr>
                            <w:t>-</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422.25pt;mso-position-horizontal:center;mso-position-horizontal-relative:margin;z-index:251659264;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0ngy21gAAAAUBAAAPAAAAAAAAAAEAIAAAACIAAABkcnMvZG93bnJldi54bWxQSwECFAAUAAAA&#10;CACHTuJAhxR0GbcBAABMAwAADgAAAAAAAAABACAAAAAlAQAAZHJzL2Uyb0RvYy54bWxQSwUGAAAA&#10;AAYABgBZAQAATgU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5</w:t>
                    </w:r>
                    <w:r>
                      <w:rPr>
                        <w:rFonts w:hint="eastAsia" w:ascii="宋体" w:hAnsi="宋体"/>
                      </w:rPr>
                      <w:t>-</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16</w:t>
                    </w:r>
                    <w:r>
                      <w:rPr>
                        <w:rFonts w:ascii="宋体" w:hAnsi="宋体"/>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20</w:t>
                          </w:r>
                          <w:r>
                            <w:rPr>
                              <w:rFonts w:ascii="宋体" w:hAnsi="宋体"/>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GmCS9MAAAAFAQAADwAAAAAAAAABACAAAAAiAAAAZHJzL2Rvd25yZXYueG1sUEsBAhQAFAAA&#10;AAgAh07iQM5QCya7AQAAWAMAAA4AAAAAAAAAAQAgAAAAIgEAAGRycy9lMm9Eb2MueG1sUEsFBgAA&#10;AAAGAAYAWQEAAE8FAAAAAA==&#10;">
              <v:fill on="f" focussize="0,0"/>
              <v:stroke on="f" weight="1.25pt"/>
              <v:imagedata o:title=""/>
              <o:lock v:ext="edit" aspectratio="f"/>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9"/>
                        <w:rFonts w:ascii="宋体" w:hAnsi="宋体"/>
                      </w:rPr>
                      <w:instrText xml:space="preserve"> PAGE </w:instrText>
                    </w:r>
                    <w:r>
                      <w:rPr>
                        <w:rFonts w:ascii="宋体" w:hAnsi="宋体"/>
                      </w:rPr>
                      <w:fldChar w:fldCharType="separate"/>
                    </w:r>
                    <w:r>
                      <w:rPr>
                        <w:rStyle w:val="29"/>
                        <w:rFonts w:ascii="宋体" w:hAnsi="宋体"/>
                      </w:rPr>
                      <w:t>20</w:t>
                    </w:r>
                    <w:r>
                      <w:rPr>
                        <w:rFonts w:ascii="宋体" w:hAnsi="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rPr>
      <w:t>云浮市云城区臻汇园碧湖新城住宅小区（A区）物业管理服务项目</w:t>
    </w:r>
    <w:r>
      <w:rPr>
        <w:rFonts w:hint="eastAsia" w:ascii="宋体" w:hAnsi="宋体"/>
      </w:rPr>
      <w:t xml:space="preserve">                          GDXJ19FCS1001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rPr>
      <w:t>云浮市云城区臻汇园碧湖新城住宅小区（A区）物业管理服务项目</w:t>
    </w:r>
    <w:r>
      <w:rPr>
        <w:rFonts w:hint="eastAsia" w:ascii="宋体" w:hAnsi="宋体"/>
      </w:rPr>
      <w:t xml:space="preserve">                                GDXJ19FCS1001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rPr>
      <w:t>云浮市云城区臻汇园碧湖新城住宅小区（A区）物业管理服务项目</w:t>
    </w:r>
    <w:r>
      <w:rPr>
        <w:rFonts w:hint="eastAsia" w:ascii="宋体" w:hAnsi="宋体"/>
      </w:rPr>
      <w:t xml:space="preserve">                                                                         GDXJ19FCS1001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Tahoma" w:hAnsi="Tahoma" w:cs="Tahoma"/>
      </w:rPr>
      <w:t>云浮市云城区臻汇园碧湖新城住宅小区（A区）物业管理服务项目</w:t>
    </w:r>
    <w:r>
      <w:rPr>
        <w:rFonts w:hint="eastAsia" w:ascii="Tahoma" w:hAnsi="Tahoma" w:cs="Tahoma"/>
        <w:sz w:val="21"/>
        <w:szCs w:val="21"/>
      </w:rPr>
      <w:t xml:space="preserve">  </w:t>
    </w:r>
    <w:r>
      <w:rPr>
        <w:rFonts w:hint="eastAsia" w:ascii="宋体" w:hAnsi="宋体"/>
        <w:sz w:val="21"/>
        <w:szCs w:val="21"/>
      </w:rPr>
      <w:t xml:space="preserve">                         </w:t>
    </w:r>
    <w:r>
      <w:rPr>
        <w:rFonts w:hint="eastAsia" w:ascii="宋体" w:hAnsi="宋体"/>
      </w:rPr>
      <w:t>GDXJ19FCS1001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rPr>
      <w:t xml:space="preserve">云浮市云城区臻汇园碧湖新城住宅小区（A区）物业管理服务项目       </w:t>
    </w:r>
    <w:r>
      <w:rPr>
        <w:rFonts w:hint="eastAsia" w:ascii="宋体" w:hAnsi="宋体"/>
      </w:rPr>
      <w:t xml:space="preserve">      </w:t>
    </w:r>
    <w:r>
      <w:rPr>
        <w:rFonts w:hint="eastAsia"/>
        <w:szCs w:val="21"/>
      </w:rPr>
      <w:t>GDXJ19FCS1001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rPr>
      <w:t xml:space="preserve">云浮市云城区臻汇园碧湖新城住宅小区（A区）物业管理服务项目 </w:t>
    </w:r>
    <w:r>
      <w:rPr>
        <w:rFonts w:hint="eastAsia" w:ascii="宋体" w:hAnsi="宋体"/>
      </w:rPr>
      <w:t xml:space="preserve">                 </w:t>
    </w:r>
    <w:r>
      <w:rPr>
        <w:rFonts w:hint="eastAsia"/>
        <w:szCs w:val="21"/>
      </w:rPr>
      <w:t>GDXJ19FCS1001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7061A5C"/>
    <w:multiLevelType w:val="singleLevel"/>
    <w:tmpl w:val="57061A5C"/>
    <w:lvl w:ilvl="0" w:tentative="0">
      <w:start w:val="5"/>
      <w:numFmt w:val="chineseCounting"/>
      <w:suff w:val="nothing"/>
      <w:lvlText w:val="（%1）"/>
      <w:lvlJc w:val="left"/>
    </w:lvl>
  </w:abstractNum>
  <w:abstractNum w:abstractNumId="12">
    <w:nsid w:val="590AD9C3"/>
    <w:multiLevelType w:val="singleLevel"/>
    <w:tmpl w:val="590AD9C3"/>
    <w:lvl w:ilvl="0" w:tentative="0">
      <w:start w:val="1"/>
      <w:numFmt w:val="decimal"/>
      <w:suff w:val="space"/>
      <w:lvlText w:val="（%1）"/>
      <w:lvlJc w:val="left"/>
    </w:lvl>
  </w:abstractNum>
  <w:abstractNum w:abstractNumId="13">
    <w:nsid w:val="59DD82D8"/>
    <w:multiLevelType w:val="singleLevel"/>
    <w:tmpl w:val="59DD82D8"/>
    <w:lvl w:ilvl="0" w:tentative="0">
      <w:start w:val="4"/>
      <w:numFmt w:val="decimal"/>
      <w:suff w:val="space"/>
      <w:lvlText w:val="（%1）"/>
      <w:lvlJc w:val="left"/>
    </w:lvl>
  </w:abstractNum>
  <w:abstractNum w:abstractNumId="14">
    <w:nsid w:val="5C19C4B7"/>
    <w:multiLevelType w:val="singleLevel"/>
    <w:tmpl w:val="5C19C4B7"/>
    <w:lvl w:ilvl="0" w:tentative="0">
      <w:start w:val="5"/>
      <w:numFmt w:val="chineseCounting"/>
      <w:suff w:val="nothing"/>
      <w:lvlText w:val="（%1）"/>
      <w:lvlJc w:val="left"/>
    </w:lvl>
  </w:abstractNum>
  <w:abstractNum w:abstractNumId="15">
    <w:nsid w:val="5C1A131D"/>
    <w:multiLevelType w:val="singleLevel"/>
    <w:tmpl w:val="5C1A131D"/>
    <w:lvl w:ilvl="0" w:tentative="0">
      <w:start w:val="4"/>
      <w:numFmt w:val="chineseCounting"/>
      <w:suff w:val="nothing"/>
      <w:lvlText w:val="（%1）"/>
      <w:lvlJc w:val="left"/>
    </w:lvl>
  </w:abstractNum>
  <w:abstractNum w:abstractNumId="16">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7">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6"/>
  </w:num>
  <w:num w:numId="4">
    <w:abstractNumId w:val="5"/>
  </w:num>
  <w:num w:numId="5">
    <w:abstractNumId w:val="6"/>
  </w:num>
  <w:num w:numId="6">
    <w:abstractNumId w:val="10"/>
  </w:num>
  <w:num w:numId="7">
    <w:abstractNumId w:val="18"/>
  </w:num>
  <w:num w:numId="8">
    <w:abstractNumId w:val="4"/>
  </w:num>
  <w:num w:numId="9">
    <w:abstractNumId w:val="3"/>
  </w:num>
  <w:num w:numId="10">
    <w:abstractNumId w:val="2"/>
  </w:num>
  <w:num w:numId="11">
    <w:abstractNumId w:val="12"/>
  </w:num>
  <w:num w:numId="12">
    <w:abstractNumId w:val="17"/>
  </w:num>
  <w:num w:numId="13">
    <w:abstractNumId w:val="13"/>
  </w:num>
  <w:num w:numId="14">
    <w:abstractNumId w:val="9"/>
  </w:num>
  <w:num w:numId="15">
    <w:abstractNumId w:val="7"/>
  </w:num>
  <w:num w:numId="16">
    <w:abstractNumId w:val="11"/>
  </w:num>
  <w:num w:numId="17">
    <w:abstractNumId w:val="14"/>
    <w:lvlOverride w:ilvl="0">
      <w:startOverride w:val="5"/>
    </w:lvlOverride>
  </w:num>
  <w:num w:numId="18">
    <w:abstractNumId w:val="15"/>
    <w:lvlOverride w:ilvl="0">
      <w:startOverride w:val="4"/>
    </w:lvlOverride>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A2E"/>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167F3"/>
    <w:rsid w:val="002200C2"/>
    <w:rsid w:val="00221D60"/>
    <w:rsid w:val="00223571"/>
    <w:rsid w:val="00223E51"/>
    <w:rsid w:val="002329D2"/>
    <w:rsid w:val="00232EB7"/>
    <w:rsid w:val="00236CEA"/>
    <w:rsid w:val="002370AF"/>
    <w:rsid w:val="00240683"/>
    <w:rsid w:val="00256DE4"/>
    <w:rsid w:val="00263294"/>
    <w:rsid w:val="00267327"/>
    <w:rsid w:val="00267EA3"/>
    <w:rsid w:val="002701B9"/>
    <w:rsid w:val="002762C7"/>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0E07"/>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4F3D96"/>
    <w:rsid w:val="005001E2"/>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08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5F3443"/>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114"/>
    <w:rsid w:val="00696895"/>
    <w:rsid w:val="006973D6"/>
    <w:rsid w:val="006A1F7C"/>
    <w:rsid w:val="006A487C"/>
    <w:rsid w:val="006B0DB8"/>
    <w:rsid w:val="006B3202"/>
    <w:rsid w:val="006B78F6"/>
    <w:rsid w:val="006C28AF"/>
    <w:rsid w:val="006C6696"/>
    <w:rsid w:val="006D0447"/>
    <w:rsid w:val="006D215D"/>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3BED"/>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868"/>
    <w:rsid w:val="00941AF3"/>
    <w:rsid w:val="0094524A"/>
    <w:rsid w:val="009456EC"/>
    <w:rsid w:val="00946F25"/>
    <w:rsid w:val="00951384"/>
    <w:rsid w:val="0095171D"/>
    <w:rsid w:val="00955400"/>
    <w:rsid w:val="0095613B"/>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1F26"/>
    <w:rsid w:val="00A7299E"/>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1284B"/>
    <w:rsid w:val="00B20428"/>
    <w:rsid w:val="00B2298F"/>
    <w:rsid w:val="00B234E2"/>
    <w:rsid w:val="00B256AF"/>
    <w:rsid w:val="00B25BD9"/>
    <w:rsid w:val="00B320A1"/>
    <w:rsid w:val="00B50875"/>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34C7"/>
    <w:rsid w:val="00BF4FB8"/>
    <w:rsid w:val="00C07F10"/>
    <w:rsid w:val="00C1160C"/>
    <w:rsid w:val="00C14C6A"/>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D73"/>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6C8"/>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09CD"/>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56F6C"/>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BE6834"/>
    <w:rsid w:val="020323E7"/>
    <w:rsid w:val="031B422C"/>
    <w:rsid w:val="03546547"/>
    <w:rsid w:val="03627E67"/>
    <w:rsid w:val="036B6473"/>
    <w:rsid w:val="0416753B"/>
    <w:rsid w:val="043645E4"/>
    <w:rsid w:val="048819B0"/>
    <w:rsid w:val="04E108E2"/>
    <w:rsid w:val="0555612F"/>
    <w:rsid w:val="05FA2518"/>
    <w:rsid w:val="06396B90"/>
    <w:rsid w:val="063C2298"/>
    <w:rsid w:val="071E6C79"/>
    <w:rsid w:val="073143FB"/>
    <w:rsid w:val="07CC63DA"/>
    <w:rsid w:val="07E53700"/>
    <w:rsid w:val="08471D7F"/>
    <w:rsid w:val="08662291"/>
    <w:rsid w:val="08F279E2"/>
    <w:rsid w:val="09762D99"/>
    <w:rsid w:val="09DE4B40"/>
    <w:rsid w:val="09F2600C"/>
    <w:rsid w:val="09F26AC5"/>
    <w:rsid w:val="0AC54E9D"/>
    <w:rsid w:val="0AD54BDA"/>
    <w:rsid w:val="0AFB6CAC"/>
    <w:rsid w:val="0B50645E"/>
    <w:rsid w:val="0B6948F1"/>
    <w:rsid w:val="0B6A3D17"/>
    <w:rsid w:val="0B7C46F6"/>
    <w:rsid w:val="0BA43058"/>
    <w:rsid w:val="0C246F78"/>
    <w:rsid w:val="0C3C0515"/>
    <w:rsid w:val="0C4C6A85"/>
    <w:rsid w:val="0C664F58"/>
    <w:rsid w:val="0C961836"/>
    <w:rsid w:val="0CA127FA"/>
    <w:rsid w:val="0CA95158"/>
    <w:rsid w:val="0D066457"/>
    <w:rsid w:val="0D92714F"/>
    <w:rsid w:val="0EF54881"/>
    <w:rsid w:val="0EF92985"/>
    <w:rsid w:val="0F0A7732"/>
    <w:rsid w:val="0F6C4701"/>
    <w:rsid w:val="0F6E5BBE"/>
    <w:rsid w:val="0F900189"/>
    <w:rsid w:val="0FDA7DEB"/>
    <w:rsid w:val="0FEB4CD3"/>
    <w:rsid w:val="100C1DE2"/>
    <w:rsid w:val="104F6C04"/>
    <w:rsid w:val="10C74505"/>
    <w:rsid w:val="11651119"/>
    <w:rsid w:val="122120C1"/>
    <w:rsid w:val="12BB23AD"/>
    <w:rsid w:val="12FB4B3D"/>
    <w:rsid w:val="13071A9F"/>
    <w:rsid w:val="13315615"/>
    <w:rsid w:val="1360216B"/>
    <w:rsid w:val="143D1E4D"/>
    <w:rsid w:val="1457316D"/>
    <w:rsid w:val="14BD6B55"/>
    <w:rsid w:val="14CA61B0"/>
    <w:rsid w:val="151C21EB"/>
    <w:rsid w:val="157C59CB"/>
    <w:rsid w:val="15A823E6"/>
    <w:rsid w:val="15B029A2"/>
    <w:rsid w:val="15FF3C57"/>
    <w:rsid w:val="161D6D8C"/>
    <w:rsid w:val="1621753B"/>
    <w:rsid w:val="16224208"/>
    <w:rsid w:val="16450C97"/>
    <w:rsid w:val="16B61174"/>
    <w:rsid w:val="176C3763"/>
    <w:rsid w:val="178D100E"/>
    <w:rsid w:val="17992D3B"/>
    <w:rsid w:val="17A9055F"/>
    <w:rsid w:val="17E07F69"/>
    <w:rsid w:val="183B44F5"/>
    <w:rsid w:val="19AC22AE"/>
    <w:rsid w:val="1A0903A8"/>
    <w:rsid w:val="1A870BDF"/>
    <w:rsid w:val="1AA2474E"/>
    <w:rsid w:val="1AC30890"/>
    <w:rsid w:val="1B156F9B"/>
    <w:rsid w:val="1B333435"/>
    <w:rsid w:val="1B3929CD"/>
    <w:rsid w:val="1B3A2403"/>
    <w:rsid w:val="1B5C0BB4"/>
    <w:rsid w:val="1BC205CD"/>
    <w:rsid w:val="1CB10437"/>
    <w:rsid w:val="1D1C177C"/>
    <w:rsid w:val="1D2D47BA"/>
    <w:rsid w:val="1D3077B4"/>
    <w:rsid w:val="1DB16621"/>
    <w:rsid w:val="1E32703C"/>
    <w:rsid w:val="1E3F3C34"/>
    <w:rsid w:val="1E6814BB"/>
    <w:rsid w:val="1F2C4194"/>
    <w:rsid w:val="1F7E5188"/>
    <w:rsid w:val="1FAF5B1C"/>
    <w:rsid w:val="1FEE30DD"/>
    <w:rsid w:val="1FF24262"/>
    <w:rsid w:val="200A62DA"/>
    <w:rsid w:val="20687D07"/>
    <w:rsid w:val="20D87301"/>
    <w:rsid w:val="214E5F70"/>
    <w:rsid w:val="21DD349D"/>
    <w:rsid w:val="22803FAB"/>
    <w:rsid w:val="229C0237"/>
    <w:rsid w:val="22BB4045"/>
    <w:rsid w:val="22DA4166"/>
    <w:rsid w:val="22DC6BE7"/>
    <w:rsid w:val="2305108D"/>
    <w:rsid w:val="230D4016"/>
    <w:rsid w:val="23A8101C"/>
    <w:rsid w:val="23B66F17"/>
    <w:rsid w:val="23BA6994"/>
    <w:rsid w:val="241B5F4A"/>
    <w:rsid w:val="24217D31"/>
    <w:rsid w:val="243A0254"/>
    <w:rsid w:val="24974827"/>
    <w:rsid w:val="24D6667D"/>
    <w:rsid w:val="24E91E1B"/>
    <w:rsid w:val="25334C4B"/>
    <w:rsid w:val="2547624B"/>
    <w:rsid w:val="25B71932"/>
    <w:rsid w:val="25EB70F0"/>
    <w:rsid w:val="27211512"/>
    <w:rsid w:val="27871C7F"/>
    <w:rsid w:val="27FA2221"/>
    <w:rsid w:val="28321BDD"/>
    <w:rsid w:val="28323AAE"/>
    <w:rsid w:val="28454EB3"/>
    <w:rsid w:val="285751A8"/>
    <w:rsid w:val="286B439E"/>
    <w:rsid w:val="28FE6A4D"/>
    <w:rsid w:val="29906E6A"/>
    <w:rsid w:val="29A42BF5"/>
    <w:rsid w:val="29A85320"/>
    <w:rsid w:val="2A0051E3"/>
    <w:rsid w:val="2A071992"/>
    <w:rsid w:val="2A1D6EA4"/>
    <w:rsid w:val="2AE36C8E"/>
    <w:rsid w:val="2B0C57D5"/>
    <w:rsid w:val="2BFF727D"/>
    <w:rsid w:val="2C4D5253"/>
    <w:rsid w:val="2C6A3BAF"/>
    <w:rsid w:val="2C6F63F4"/>
    <w:rsid w:val="2CF57F33"/>
    <w:rsid w:val="2D3A4BC3"/>
    <w:rsid w:val="2DA7128F"/>
    <w:rsid w:val="2DD850F2"/>
    <w:rsid w:val="2E8C2E26"/>
    <w:rsid w:val="2F503AF9"/>
    <w:rsid w:val="2F7B5CA8"/>
    <w:rsid w:val="2F8945C2"/>
    <w:rsid w:val="2F9012DD"/>
    <w:rsid w:val="2F98221C"/>
    <w:rsid w:val="2FC5101C"/>
    <w:rsid w:val="2FCC1679"/>
    <w:rsid w:val="2FFF4E45"/>
    <w:rsid w:val="3099237A"/>
    <w:rsid w:val="30CB06DF"/>
    <w:rsid w:val="311B481E"/>
    <w:rsid w:val="314B756C"/>
    <w:rsid w:val="31DC33F5"/>
    <w:rsid w:val="321F5822"/>
    <w:rsid w:val="32921B5D"/>
    <w:rsid w:val="32F41158"/>
    <w:rsid w:val="336B2834"/>
    <w:rsid w:val="33DC61E7"/>
    <w:rsid w:val="34140171"/>
    <w:rsid w:val="347943A8"/>
    <w:rsid w:val="34C13CB9"/>
    <w:rsid w:val="34CB752E"/>
    <w:rsid w:val="35444E33"/>
    <w:rsid w:val="35915A33"/>
    <w:rsid w:val="35BD3230"/>
    <w:rsid w:val="35CE1C93"/>
    <w:rsid w:val="36460765"/>
    <w:rsid w:val="368E2E9E"/>
    <w:rsid w:val="36A07456"/>
    <w:rsid w:val="36C04AEC"/>
    <w:rsid w:val="36D80657"/>
    <w:rsid w:val="371B0B34"/>
    <w:rsid w:val="37347C88"/>
    <w:rsid w:val="37E76C86"/>
    <w:rsid w:val="396430B4"/>
    <w:rsid w:val="397825BC"/>
    <w:rsid w:val="39833969"/>
    <w:rsid w:val="39AF72A0"/>
    <w:rsid w:val="3A9A3131"/>
    <w:rsid w:val="3A9B1227"/>
    <w:rsid w:val="3AA13714"/>
    <w:rsid w:val="3ABE77F6"/>
    <w:rsid w:val="3B9930A8"/>
    <w:rsid w:val="3C7C2B89"/>
    <w:rsid w:val="3C8F70D9"/>
    <w:rsid w:val="3CF81EA5"/>
    <w:rsid w:val="3D5A1015"/>
    <w:rsid w:val="3D9F20A5"/>
    <w:rsid w:val="3DA61753"/>
    <w:rsid w:val="3E426526"/>
    <w:rsid w:val="3ED37462"/>
    <w:rsid w:val="3ED42873"/>
    <w:rsid w:val="3F343FB6"/>
    <w:rsid w:val="3F354F38"/>
    <w:rsid w:val="3F92514A"/>
    <w:rsid w:val="3F972E98"/>
    <w:rsid w:val="3FB9042D"/>
    <w:rsid w:val="401F61B5"/>
    <w:rsid w:val="41193E41"/>
    <w:rsid w:val="412C3EFA"/>
    <w:rsid w:val="41597CC1"/>
    <w:rsid w:val="41A664D0"/>
    <w:rsid w:val="41B13BD3"/>
    <w:rsid w:val="41EF728F"/>
    <w:rsid w:val="42355579"/>
    <w:rsid w:val="42522927"/>
    <w:rsid w:val="42545F8F"/>
    <w:rsid w:val="425D6528"/>
    <w:rsid w:val="42671377"/>
    <w:rsid w:val="430B6E49"/>
    <w:rsid w:val="43F577CB"/>
    <w:rsid w:val="4446776A"/>
    <w:rsid w:val="45BE3C77"/>
    <w:rsid w:val="460D0517"/>
    <w:rsid w:val="460E66C6"/>
    <w:rsid w:val="46205A1C"/>
    <w:rsid w:val="467233BF"/>
    <w:rsid w:val="46BC0254"/>
    <w:rsid w:val="47171B90"/>
    <w:rsid w:val="47427C8E"/>
    <w:rsid w:val="474A0A85"/>
    <w:rsid w:val="479762EE"/>
    <w:rsid w:val="47F949DF"/>
    <w:rsid w:val="48373232"/>
    <w:rsid w:val="48577A65"/>
    <w:rsid w:val="4902531C"/>
    <w:rsid w:val="49466EFD"/>
    <w:rsid w:val="4A296F57"/>
    <w:rsid w:val="4A33138B"/>
    <w:rsid w:val="4A332306"/>
    <w:rsid w:val="4A3A0542"/>
    <w:rsid w:val="4AB76A28"/>
    <w:rsid w:val="4AC9763E"/>
    <w:rsid w:val="4ADE400B"/>
    <w:rsid w:val="4AE07264"/>
    <w:rsid w:val="4B243768"/>
    <w:rsid w:val="4B342EE1"/>
    <w:rsid w:val="4B384CC0"/>
    <w:rsid w:val="4B4E38C2"/>
    <w:rsid w:val="4B632A78"/>
    <w:rsid w:val="4C073096"/>
    <w:rsid w:val="4C9F2990"/>
    <w:rsid w:val="4D364E31"/>
    <w:rsid w:val="4E1857AC"/>
    <w:rsid w:val="4E26261F"/>
    <w:rsid w:val="4E403C3C"/>
    <w:rsid w:val="4E901F73"/>
    <w:rsid w:val="4EC62555"/>
    <w:rsid w:val="4F3C1F6D"/>
    <w:rsid w:val="4F410CB6"/>
    <w:rsid w:val="4FB46852"/>
    <w:rsid w:val="51112461"/>
    <w:rsid w:val="513959C5"/>
    <w:rsid w:val="51791DFD"/>
    <w:rsid w:val="51B06068"/>
    <w:rsid w:val="52766646"/>
    <w:rsid w:val="5292324C"/>
    <w:rsid w:val="533C7B83"/>
    <w:rsid w:val="53DA28A7"/>
    <w:rsid w:val="540909EB"/>
    <w:rsid w:val="548A63EC"/>
    <w:rsid w:val="552044B5"/>
    <w:rsid w:val="554F676F"/>
    <w:rsid w:val="55B440EC"/>
    <w:rsid w:val="55EB1177"/>
    <w:rsid w:val="56662F71"/>
    <w:rsid w:val="56B474E3"/>
    <w:rsid w:val="56C54260"/>
    <w:rsid w:val="584F4DEB"/>
    <w:rsid w:val="5853551D"/>
    <w:rsid w:val="58581F0E"/>
    <w:rsid w:val="59953DB9"/>
    <w:rsid w:val="599D45B2"/>
    <w:rsid w:val="5A160B96"/>
    <w:rsid w:val="5A53303E"/>
    <w:rsid w:val="5AA82E6F"/>
    <w:rsid w:val="5B887179"/>
    <w:rsid w:val="5BA83EAD"/>
    <w:rsid w:val="5BCA2DF8"/>
    <w:rsid w:val="5C1169B9"/>
    <w:rsid w:val="5C152C9F"/>
    <w:rsid w:val="5C432CB0"/>
    <w:rsid w:val="5C4B2EE6"/>
    <w:rsid w:val="5C655779"/>
    <w:rsid w:val="5C852993"/>
    <w:rsid w:val="5DA04389"/>
    <w:rsid w:val="5DBD752C"/>
    <w:rsid w:val="5E373A11"/>
    <w:rsid w:val="5E377FA2"/>
    <w:rsid w:val="5E6926D0"/>
    <w:rsid w:val="5F2B6AEE"/>
    <w:rsid w:val="5F2E6734"/>
    <w:rsid w:val="5F7B0AA0"/>
    <w:rsid w:val="5FED652E"/>
    <w:rsid w:val="601B3CC5"/>
    <w:rsid w:val="60891CC0"/>
    <w:rsid w:val="608D2023"/>
    <w:rsid w:val="60A46CB8"/>
    <w:rsid w:val="61402FE4"/>
    <w:rsid w:val="616621EC"/>
    <w:rsid w:val="617C3486"/>
    <w:rsid w:val="61910726"/>
    <w:rsid w:val="61B451D9"/>
    <w:rsid w:val="61F20FDE"/>
    <w:rsid w:val="62417376"/>
    <w:rsid w:val="62861D7E"/>
    <w:rsid w:val="63260A3B"/>
    <w:rsid w:val="64D40A87"/>
    <w:rsid w:val="651C283E"/>
    <w:rsid w:val="65285B05"/>
    <w:rsid w:val="65937CA4"/>
    <w:rsid w:val="661121FF"/>
    <w:rsid w:val="66CF3764"/>
    <w:rsid w:val="673967DC"/>
    <w:rsid w:val="6764666B"/>
    <w:rsid w:val="6780109A"/>
    <w:rsid w:val="67ED4339"/>
    <w:rsid w:val="682F3F46"/>
    <w:rsid w:val="683C52F1"/>
    <w:rsid w:val="684024A0"/>
    <w:rsid w:val="687A0375"/>
    <w:rsid w:val="688050F9"/>
    <w:rsid w:val="696D49BA"/>
    <w:rsid w:val="6A0F2ADF"/>
    <w:rsid w:val="6A2611E1"/>
    <w:rsid w:val="6A9A4D1F"/>
    <w:rsid w:val="6AA0237F"/>
    <w:rsid w:val="6AC049E9"/>
    <w:rsid w:val="6BAA13E3"/>
    <w:rsid w:val="6BB15830"/>
    <w:rsid w:val="6BE03B99"/>
    <w:rsid w:val="6C823F6A"/>
    <w:rsid w:val="6CBC10D1"/>
    <w:rsid w:val="6CDB0888"/>
    <w:rsid w:val="6CF13463"/>
    <w:rsid w:val="6D1A4453"/>
    <w:rsid w:val="6D614100"/>
    <w:rsid w:val="6E1155E9"/>
    <w:rsid w:val="6E7708AC"/>
    <w:rsid w:val="6FF4257E"/>
    <w:rsid w:val="71A67BCE"/>
    <w:rsid w:val="71CA593D"/>
    <w:rsid w:val="71FB1ECF"/>
    <w:rsid w:val="72651A73"/>
    <w:rsid w:val="727B3332"/>
    <w:rsid w:val="72D37DB5"/>
    <w:rsid w:val="732038EF"/>
    <w:rsid w:val="73242065"/>
    <w:rsid w:val="73CB4D0A"/>
    <w:rsid w:val="740206F2"/>
    <w:rsid w:val="740B2075"/>
    <w:rsid w:val="743209BA"/>
    <w:rsid w:val="743C27BF"/>
    <w:rsid w:val="744A5FAB"/>
    <w:rsid w:val="744C2862"/>
    <w:rsid w:val="7483273D"/>
    <w:rsid w:val="74B272F8"/>
    <w:rsid w:val="760C7600"/>
    <w:rsid w:val="76C9130A"/>
    <w:rsid w:val="7772726F"/>
    <w:rsid w:val="77C4070A"/>
    <w:rsid w:val="78E933D4"/>
    <w:rsid w:val="79490AF8"/>
    <w:rsid w:val="797C2BF9"/>
    <w:rsid w:val="79FB5934"/>
    <w:rsid w:val="79FC742D"/>
    <w:rsid w:val="7AB2474C"/>
    <w:rsid w:val="7ABF2D23"/>
    <w:rsid w:val="7B583BB7"/>
    <w:rsid w:val="7B757E36"/>
    <w:rsid w:val="7B761B39"/>
    <w:rsid w:val="7BD62DEB"/>
    <w:rsid w:val="7C630EA1"/>
    <w:rsid w:val="7CB7092B"/>
    <w:rsid w:val="7D016E15"/>
    <w:rsid w:val="7D6A27F9"/>
    <w:rsid w:val="7D74675F"/>
    <w:rsid w:val="7DC44727"/>
    <w:rsid w:val="7E1E61D3"/>
    <w:rsid w:val="7E2E7118"/>
    <w:rsid w:val="7EB406EC"/>
    <w:rsid w:val="7EBE547D"/>
    <w:rsid w:val="7F065349"/>
    <w:rsid w:val="7F261A39"/>
    <w:rsid w:val="7F6D09DC"/>
    <w:rsid w:val="7F9F4789"/>
    <w:rsid w:val="7FBC16F3"/>
    <w:rsid w:val="7FC2240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3"/>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3"/>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35"/>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8">
    <w:name w:val="caption"/>
    <w:basedOn w:val="1"/>
    <w:next w:val="1"/>
    <w:qFormat/>
    <w:uiPriority w:val="0"/>
    <w:rPr>
      <w:rFonts w:ascii="Arial" w:hAnsi="Arial" w:eastAsia="黑体" w:cs="Arial"/>
      <w:sz w:val="20"/>
    </w:rPr>
  </w:style>
  <w:style w:type="paragraph" w:styleId="9">
    <w:name w:val="Document Map"/>
    <w:basedOn w:val="1"/>
    <w:link w:val="41"/>
    <w:qFormat/>
    <w:uiPriority w:val="0"/>
    <w:rPr>
      <w:rFonts w:ascii="宋体"/>
      <w:sz w:val="18"/>
      <w:szCs w:val="18"/>
    </w:rPr>
  </w:style>
  <w:style w:type="paragraph" w:styleId="10">
    <w:name w:val="annotation text"/>
    <w:basedOn w:val="1"/>
    <w:semiHidden/>
    <w:qFormat/>
    <w:uiPriority w:val="0"/>
  </w:style>
  <w:style w:type="paragraph" w:styleId="11">
    <w:name w:val="Body Text 3"/>
    <w:basedOn w:val="1"/>
    <w:link w:val="42"/>
    <w:qFormat/>
    <w:uiPriority w:val="0"/>
    <w:pPr>
      <w:spacing w:after="120"/>
    </w:pPr>
    <w:rPr>
      <w:sz w:val="16"/>
      <w:szCs w:val="16"/>
    </w:rPr>
  </w:style>
  <w:style w:type="paragraph" w:styleId="12">
    <w:name w:val="Body Text"/>
    <w:basedOn w:val="1"/>
    <w:qFormat/>
    <w:uiPriority w:val="99"/>
    <w:pPr>
      <w:spacing w:after="120"/>
    </w:pPr>
    <w:rPr>
      <w:sz w:val="18"/>
      <w:szCs w:val="18"/>
    </w:rPr>
  </w:style>
  <w:style w:type="paragraph" w:styleId="13">
    <w:name w:val="Body Text Indent"/>
    <w:basedOn w:val="1"/>
    <w:qFormat/>
    <w:uiPriority w:val="0"/>
    <w:pPr>
      <w:spacing w:after="120"/>
      <w:ind w:left="420" w:leftChars="200"/>
    </w:pPr>
  </w:style>
  <w:style w:type="paragraph" w:styleId="14">
    <w:name w:val="Plain Text"/>
    <w:basedOn w:val="1"/>
    <w:link w:val="38"/>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4"/>
    <w:qFormat/>
    <w:uiPriority w:val="0"/>
    <w:pPr>
      <w:tabs>
        <w:tab w:val="center" w:pos="4153"/>
        <w:tab w:val="right" w:pos="8306"/>
      </w:tabs>
      <w:snapToGrid w:val="0"/>
    </w:pPr>
    <w:rPr>
      <w:sz w:val="18"/>
      <w:szCs w:val="18"/>
    </w:rPr>
  </w:style>
  <w:style w:type="paragraph" w:styleId="19">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Autospacing="1" w:after="100" w:afterAutospacing="1"/>
    </w:pPr>
    <w:rPr>
      <w:rFonts w:ascii="宋体" w:hAnsi="宋体" w:cs="宋体"/>
      <w:sz w:val="24"/>
      <w:szCs w:val="24"/>
    </w:rPr>
  </w:style>
  <w:style w:type="paragraph" w:styleId="25">
    <w:name w:val="annotation subject"/>
    <w:basedOn w:val="10"/>
    <w:next w:val="10"/>
    <w:semiHidden/>
    <w:qFormat/>
    <w:uiPriority w:val="0"/>
    <w:rPr>
      <w:b/>
      <w:bCs/>
    </w:rPr>
  </w:style>
  <w:style w:type="table" w:styleId="27">
    <w:name w:val="Table Grid"/>
    <w:basedOn w:val="26"/>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9">
    <w:name w:val="page number"/>
    <w:basedOn w:val="28"/>
    <w:qFormat/>
    <w:uiPriority w:val="0"/>
  </w:style>
  <w:style w:type="character" w:styleId="30">
    <w:name w:val="Emphasis"/>
    <w:basedOn w:val="28"/>
    <w:qFormat/>
    <w:uiPriority w:val="0"/>
    <w:rPr>
      <w:color w:val="CC0000"/>
    </w:rPr>
  </w:style>
  <w:style w:type="character" w:styleId="31">
    <w:name w:val="Hyperlink"/>
    <w:qFormat/>
    <w:uiPriority w:val="0"/>
    <w:rPr>
      <w:color w:val="0000FF"/>
      <w:u w:val="single"/>
    </w:rPr>
  </w:style>
  <w:style w:type="character" w:styleId="32">
    <w:name w:val="annotation reference"/>
    <w:semiHidden/>
    <w:qFormat/>
    <w:uiPriority w:val="0"/>
    <w:rPr>
      <w:sz w:val="21"/>
      <w:szCs w:val="21"/>
    </w:rPr>
  </w:style>
  <w:style w:type="character" w:customStyle="1" w:styleId="33">
    <w:name w:val="标题 2 字符"/>
    <w:link w:val="3"/>
    <w:qFormat/>
    <w:locked/>
    <w:uiPriority w:val="0"/>
    <w:rPr>
      <w:rFonts w:ascii="宋体" w:hAnsi="Arial" w:eastAsia="宋体"/>
      <w:b/>
      <w:bCs/>
      <w:sz w:val="24"/>
      <w:szCs w:val="32"/>
      <w:lang w:val="en-US" w:eastAsia="zh-CN" w:bidi="ar-SA"/>
    </w:rPr>
  </w:style>
  <w:style w:type="character" w:customStyle="1" w:styleId="34">
    <w:name w:val="Normal Indent Char"/>
    <w:qFormat/>
    <w:locked/>
    <w:uiPriority w:val="0"/>
    <w:rPr>
      <w:rFonts w:ascii="Times New Roman" w:hAnsi="Times New Roman" w:eastAsia="宋体"/>
      <w:kern w:val="0"/>
      <w:sz w:val="20"/>
    </w:rPr>
  </w:style>
  <w:style w:type="character" w:customStyle="1" w:styleId="35">
    <w:name w:val="正文缩进 字符"/>
    <w:link w:val="7"/>
    <w:qFormat/>
    <w:uiPriority w:val="0"/>
    <w:rPr>
      <w:rFonts w:ascii="宋体" w:eastAsia="宋体"/>
      <w:snapToGrid w:val="0"/>
      <w:color w:val="000000"/>
      <w:sz w:val="21"/>
      <w:lang w:val="en-US" w:eastAsia="zh-CN" w:bidi="ar-SA"/>
    </w:rPr>
  </w:style>
  <w:style w:type="character" w:customStyle="1" w:styleId="36">
    <w:name w:val="font01"/>
    <w:qFormat/>
    <w:uiPriority w:val="0"/>
    <w:rPr>
      <w:rFonts w:hint="eastAsia" w:ascii="宋体" w:hAnsi="宋体" w:eastAsia="宋体" w:cs="宋体"/>
      <w:color w:val="000000"/>
      <w:sz w:val="24"/>
      <w:szCs w:val="24"/>
      <w:u w:val="none"/>
    </w:rPr>
  </w:style>
  <w:style w:type="character" w:customStyle="1" w:styleId="37">
    <w:name w:val="标题 1 字符"/>
    <w:link w:val="2"/>
    <w:qFormat/>
    <w:locked/>
    <w:uiPriority w:val="0"/>
    <w:rPr>
      <w:rFonts w:eastAsia="宋体"/>
      <w:b/>
      <w:bCs/>
      <w:kern w:val="44"/>
      <w:sz w:val="44"/>
      <w:szCs w:val="44"/>
      <w:lang w:val="en-US" w:eastAsia="zh-CN" w:bidi="ar-SA"/>
    </w:rPr>
  </w:style>
  <w:style w:type="character" w:customStyle="1" w:styleId="38">
    <w:name w:val="纯文本 字符"/>
    <w:link w:val="14"/>
    <w:qFormat/>
    <w:uiPriority w:val="0"/>
    <w:rPr>
      <w:rFonts w:ascii="宋体" w:hAnsi="Courier New" w:eastAsia="宋体"/>
      <w:kern w:val="2"/>
      <w:sz w:val="21"/>
      <w:lang w:val="en-US" w:eastAsia="zh-CN" w:bidi="ar-SA"/>
    </w:rPr>
  </w:style>
  <w:style w:type="character" w:customStyle="1" w:styleId="39">
    <w:name w:val="style81"/>
    <w:qFormat/>
    <w:uiPriority w:val="0"/>
    <w:rPr>
      <w:sz w:val="21"/>
      <w:szCs w:val="21"/>
    </w:rPr>
  </w:style>
  <w:style w:type="character" w:customStyle="1" w:styleId="40">
    <w:name w:val="Plain Text Char"/>
    <w:qFormat/>
    <w:locked/>
    <w:uiPriority w:val="0"/>
    <w:rPr>
      <w:rFonts w:ascii="宋体" w:hAnsi="Courier New" w:eastAsia="宋体"/>
      <w:kern w:val="0"/>
      <w:sz w:val="21"/>
    </w:rPr>
  </w:style>
  <w:style w:type="character" w:customStyle="1" w:styleId="41">
    <w:name w:val="文档结构图 字符"/>
    <w:link w:val="9"/>
    <w:qFormat/>
    <w:uiPriority w:val="0"/>
    <w:rPr>
      <w:rFonts w:ascii="宋体"/>
      <w:sz w:val="18"/>
      <w:szCs w:val="18"/>
      <w:lang w:bidi="ar-SA"/>
    </w:rPr>
  </w:style>
  <w:style w:type="character" w:customStyle="1" w:styleId="42">
    <w:name w:val="正文文本 3 字符"/>
    <w:link w:val="11"/>
    <w:qFormat/>
    <w:uiPriority w:val="0"/>
    <w:rPr>
      <w:rFonts w:eastAsia="宋体"/>
      <w:sz w:val="16"/>
      <w:szCs w:val="16"/>
      <w:lang w:val="en-US" w:eastAsia="zh-CN" w:bidi="ar-SA"/>
    </w:rPr>
  </w:style>
  <w:style w:type="character" w:customStyle="1" w:styleId="43">
    <w:name w:val="标题 3 字符"/>
    <w:link w:val="4"/>
    <w:qFormat/>
    <w:uiPriority w:val="0"/>
    <w:rPr>
      <w:rFonts w:ascii="宋体" w:eastAsia="宋体"/>
      <w:sz w:val="21"/>
      <w:lang w:val="en-US" w:eastAsia="zh-CN" w:bidi="ar-SA"/>
    </w:rPr>
  </w:style>
  <w:style w:type="character" w:customStyle="1" w:styleId="44">
    <w:name w:val="页脚 字符"/>
    <w:link w:val="18"/>
    <w:qFormat/>
    <w:locked/>
    <w:uiPriority w:val="0"/>
    <w:rPr>
      <w:rFonts w:eastAsia="宋体"/>
      <w:sz w:val="18"/>
      <w:szCs w:val="18"/>
      <w:lang w:val="en-US" w:eastAsia="zh-CN" w:bidi="ar-SA"/>
    </w:rPr>
  </w:style>
  <w:style w:type="character" w:customStyle="1" w:styleId="45">
    <w:name w:val="Header Char"/>
    <w:qFormat/>
    <w:locked/>
    <w:uiPriority w:val="0"/>
    <w:rPr>
      <w:rFonts w:cs="Times New Roman"/>
      <w:sz w:val="18"/>
      <w:szCs w:val="18"/>
    </w:rPr>
  </w:style>
  <w:style w:type="character" w:customStyle="1" w:styleId="46">
    <w:name w:val="页眉 字符"/>
    <w:link w:val="19"/>
    <w:qFormat/>
    <w:uiPriority w:val="0"/>
    <w:rPr>
      <w:rFonts w:eastAsia="宋体"/>
      <w:sz w:val="18"/>
      <w:szCs w:val="18"/>
      <w:lang w:val="en-US" w:eastAsia="zh-CN" w:bidi="ar-SA"/>
    </w:rPr>
  </w:style>
  <w:style w:type="paragraph" w:customStyle="1" w:styleId="47">
    <w:name w:val="_Style 10"/>
    <w:basedOn w:val="1"/>
    <w:qFormat/>
    <w:uiPriority w:val="0"/>
    <w:pPr>
      <w:spacing w:after="160" w:line="240" w:lineRule="exact"/>
    </w:pPr>
    <w:rPr>
      <w:rFonts w:ascii="Verdana" w:hAnsi="Verdana"/>
      <w:lang w:eastAsia="en-US"/>
    </w:rPr>
  </w:style>
  <w:style w:type="paragraph" w:customStyle="1" w:styleId="48">
    <w:name w:val="0段落文字"/>
    <w:basedOn w:val="1"/>
    <w:qFormat/>
    <w:uiPriority w:val="0"/>
    <w:pPr>
      <w:spacing w:line="360" w:lineRule="auto"/>
      <w:ind w:firstLine="200" w:firstLineChars="200"/>
    </w:pPr>
    <w:rPr>
      <w:sz w:val="24"/>
      <w:szCs w:val="21"/>
    </w:rPr>
  </w:style>
  <w:style w:type="paragraph" w:customStyle="1" w:styleId="49">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0">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1">
    <w:name w:val="_正文段落"/>
    <w:basedOn w:val="1"/>
    <w:qFormat/>
    <w:uiPriority w:val="0"/>
    <w:pPr>
      <w:spacing w:line="360" w:lineRule="auto"/>
      <w:ind w:firstLine="480" w:firstLineChars="200"/>
    </w:pPr>
    <w:rPr>
      <w:rFonts w:ascii="宋体" w:hAnsi="宋体"/>
      <w:sz w:val="24"/>
    </w:rPr>
  </w:style>
  <w:style w:type="paragraph" w:customStyle="1" w:styleId="52">
    <w:name w:val="列出段落1"/>
    <w:basedOn w:val="1"/>
    <w:qFormat/>
    <w:uiPriority w:val="0"/>
    <w:pPr>
      <w:widowControl w:val="0"/>
      <w:ind w:firstLine="420" w:firstLineChars="200"/>
      <w:jc w:val="both"/>
    </w:pPr>
    <w:rPr>
      <w:rFonts w:ascii="Calibri" w:hAnsi="Calibri"/>
      <w:kern w:val="2"/>
      <w:szCs w:val="22"/>
    </w:rPr>
  </w:style>
  <w:style w:type="paragraph" w:customStyle="1" w:styleId="53">
    <w:name w:val="表格文字"/>
    <w:basedOn w:val="1"/>
    <w:qFormat/>
    <w:uiPriority w:val="0"/>
    <w:pPr>
      <w:widowControl w:val="0"/>
      <w:spacing w:before="25" w:after="25"/>
    </w:pPr>
    <w:rPr>
      <w:bCs/>
      <w:spacing w:val="10"/>
      <w:sz w:val="24"/>
    </w:rPr>
  </w:style>
  <w:style w:type="paragraph" w:customStyle="1" w:styleId="54">
    <w:name w:val="Char1"/>
    <w:basedOn w:val="1"/>
    <w:qFormat/>
    <w:uiPriority w:val="0"/>
    <w:pPr>
      <w:spacing w:after="160" w:line="240" w:lineRule="exact"/>
    </w:pPr>
    <w:rPr>
      <w:rFonts w:ascii="Verdana" w:hAnsi="Verdana"/>
      <w:lang w:eastAsia="en-US"/>
    </w:rPr>
  </w:style>
  <w:style w:type="paragraph" w:customStyle="1" w:styleId="55">
    <w:name w:val="Char Char Char"/>
    <w:basedOn w:val="1"/>
    <w:qFormat/>
    <w:uiPriority w:val="0"/>
    <w:pPr>
      <w:widowControl w:val="0"/>
      <w:jc w:val="both"/>
    </w:pPr>
    <w:rPr>
      <w:rFonts w:ascii="Tahoma" w:hAnsi="Tahoma"/>
      <w:kern w:val="2"/>
      <w:sz w:val="24"/>
    </w:rPr>
  </w:style>
  <w:style w:type="paragraph" w:customStyle="1" w:styleId="56">
    <w:name w:val="题注5"/>
    <w:basedOn w:val="1"/>
    <w:next w:val="8"/>
    <w:qFormat/>
    <w:uiPriority w:val="0"/>
    <w:pPr>
      <w:widowControl w:val="0"/>
      <w:jc w:val="center"/>
    </w:pPr>
    <w:rPr>
      <w:b/>
      <w:color w:val="000000"/>
      <w:kern w:val="2"/>
      <w:sz w:val="24"/>
      <w:szCs w:val="21"/>
    </w:rPr>
  </w:style>
  <w:style w:type="paragraph" w:customStyle="1" w:styleId="57">
    <w:name w:val="列出段落2"/>
    <w:basedOn w:val="1"/>
    <w:qFormat/>
    <w:uiPriority w:val="0"/>
    <w:pPr>
      <w:widowControl w:val="0"/>
      <w:ind w:firstLine="420" w:firstLineChars="200"/>
      <w:jc w:val="both"/>
    </w:pPr>
    <w:rPr>
      <w:rFonts w:ascii="Calibri" w:hAnsi="Calibri"/>
      <w:kern w:val="2"/>
      <w:szCs w:val="22"/>
    </w:rPr>
  </w:style>
  <w:style w:type="paragraph" w:customStyle="1" w:styleId="58">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9">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0">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61">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New New New New New New New New New New New New New New New New New Ne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正文 New New New New New New New New New New New New New New New New New New New New New New New New New New New New New New New New New New New New New New New New New New New New New New New New New New New New New New New New New New New New New New Ne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正文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正文 New New New New New New New New New New New New New New New New New New New New New New New New New New New New New New New New New New New New New New New New New New New New New New New New New New New New New New New New New New New New New New Ne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正文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New New New New New Ne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正文 New New New New New New New New New New New New New New New New New New New New New New New New New New New New New New New New New New New New New New New New New New New New New New New New New New New New New New New New New New New New New New Ne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 New New New New New New New New New New New New New New New New New New New New New New New New New New New New New New New New New New New New New New New New New New New New New New New New New New New New New New New New New New New New New New Ne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71</Pages>
  <Words>29414</Words>
  <Characters>6653</Characters>
  <Lines>55</Lines>
  <Paragraphs>71</Paragraphs>
  <TotalTime>34</TotalTime>
  <ScaleCrop>false</ScaleCrop>
  <LinksUpToDate>false</LinksUpToDate>
  <CharactersWithSpaces>35996</CharactersWithSpaces>
  <Application>WPS Office_11.1.0.8515_F1E327BC-269C-435d-A152-05C5408002CA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2019-03-11T06:05:00Z</dcterms:created>
  <dc:creator>gzsw</dc:creator>
  <cp:lastModifiedBy>L</cp:lastModifiedBy>
  <cp:lastPrinted>2019-03-06T07:55:00Z</cp:lastPrinted>
  <dcterms:modified xsi:type="dcterms:W3CDTF">2019-03-12T07:57:29Z</dcterms:modified>
  <dc:title>0封面</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2052-11.1.0.8515</vt:lpwstr>
  </property>
</Properties>
</file>