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52"/>
          <w:szCs w:val="52"/>
          <w:lang w:eastAsia="zh-CN"/>
        </w:rPr>
        <w:t>新兴县公安局新一代移动警务系统终端采购及配套服务采购项目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445381-201809-81434028-0021</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6"/>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11</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4"/>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新兴县公安局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新兴县公安局新一代移动警务系统终端采购及配套服务采购项目</w:t>
      </w:r>
      <w:r>
        <w:rPr>
          <w:rFonts w:hint="eastAsia" w:ascii="宋体" w:hAnsi="宋体" w:eastAsia="宋体" w:cs="宋体"/>
          <w:color w:val="auto"/>
          <w:kern w:val="28"/>
        </w:rPr>
        <w:t>（编号：</w:t>
      </w:r>
      <w:r>
        <w:rPr>
          <w:rFonts w:hint="eastAsia" w:ascii="宋体" w:hAnsi="宋体" w:cs="宋体"/>
          <w:color w:val="auto"/>
          <w:lang w:eastAsia="zh-CN"/>
        </w:rPr>
        <w:t>445381-201809-81434028-0021</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新兴县公安局新一代移动警务系统终端采购及配套服务采购项目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¥1,839,200.00元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bookmarkStart w:id="43" w:name="_GoBack"/>
      <w:bookmarkEnd w:id="43"/>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eastAsia="宋体" w:cs="宋体"/>
          <w:color w:val="auto"/>
          <w:szCs w:val="22"/>
        </w:rPr>
        <w:t>广东省新兴县财政局政府采购监督管理股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、符合《中华人民共和国政府采购法》第二十二条的规定；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11</w:t>
      </w:r>
      <w:r>
        <w:rPr>
          <w:rFonts w:hint="eastAsia" w:ascii="宋体" w:hAnsi="宋体" w:eastAsia="宋体" w:cs="宋体"/>
          <w:color w:val="auto"/>
          <w:kern w:val="28"/>
        </w:rPr>
        <w:t>月</w:t>
      </w:r>
      <w:r>
        <w:rPr>
          <w:rFonts w:hint="eastAsia" w:ascii="宋体" w:hAnsi="宋体" w:cs="宋体"/>
          <w:color w:val="auto"/>
          <w:kern w:val="28"/>
          <w:lang w:val="en-US" w:eastAsia="zh-CN"/>
        </w:rPr>
        <w:t>12</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11</w:t>
      </w:r>
      <w:r>
        <w:rPr>
          <w:rFonts w:hint="eastAsia" w:ascii="宋体" w:hAnsi="宋体" w:eastAsia="宋体" w:cs="宋体"/>
          <w:color w:val="auto"/>
          <w:kern w:val="28"/>
        </w:rPr>
        <w:t>月</w:t>
      </w:r>
      <w:r>
        <w:rPr>
          <w:rFonts w:hint="eastAsia" w:ascii="宋体" w:hAnsi="宋体" w:cs="宋体"/>
          <w:color w:val="auto"/>
          <w:kern w:val="28"/>
          <w:lang w:val="en-US" w:eastAsia="zh-CN"/>
        </w:rPr>
        <w:t>16</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11月20日下午14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11月20日下午15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11月20日下午15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新兴县公安局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新兴县公安局</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黄先生</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cs="宋体"/>
          <w:color w:val="auto"/>
          <w:lang w:val="en-US" w:eastAsia="zh-CN"/>
        </w:rPr>
        <w:t>0766-2885477</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w:t>
      </w:r>
      <w:r>
        <w:rPr>
          <w:rFonts w:hint="eastAsia" w:ascii="宋体" w:hAnsi="宋体" w:eastAsia="宋体" w:cs="宋体"/>
          <w:color w:val="auto"/>
        </w:rPr>
        <w:t>月</w:t>
      </w:r>
      <w:r>
        <w:rPr>
          <w:rFonts w:hint="eastAsia" w:ascii="宋体" w:hAnsi="宋体" w:cs="宋体"/>
          <w:color w:val="auto"/>
          <w:lang w:val="en-US" w:eastAsia="zh-CN"/>
        </w:rPr>
        <w:t>9</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9"/>
        <w:spacing w:line="360" w:lineRule="auto"/>
        <w:jc w:val="center"/>
        <w:rPr>
          <w:rFonts w:hint="eastAsia" w:ascii="宋体" w:hAnsi="宋体" w:eastAsia="宋体" w:cs="宋体"/>
          <w:color w:val="auto"/>
        </w:rPr>
      </w:pPr>
    </w:p>
    <w:p>
      <w:pPr>
        <w:pStyle w:val="21"/>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新兴县公安局新一代移动警务系统终端采购及配套服务采购项目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445381-201809-81434028-0021</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叁</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陆</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36</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445381-201809-81434028-0021</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15</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15</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85</w:t>
            </w:r>
            <w:r>
              <w:rPr>
                <w:color w:val="auto"/>
              </w:rPr>
              <w:t>%</w:t>
            </w:r>
          </w:p>
        </w:tc>
        <w:tc>
          <w:tcPr>
            <w:tcW w:w="2106" w:type="dxa"/>
            <w:vAlign w:val="center"/>
          </w:tcPr>
          <w:p>
            <w:pPr>
              <w:spacing w:line="480" w:lineRule="exact"/>
              <w:jc w:val="center"/>
              <w:rPr>
                <w:color w:val="auto"/>
              </w:rPr>
            </w:pPr>
            <w:r>
              <w:rPr>
                <w:rFonts w:hint="eastAsia"/>
                <w:color w:val="auto"/>
                <w:lang w:val="en-US" w:eastAsia="zh-CN"/>
              </w:rPr>
              <w:t>15</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olor w:val="auto"/>
          <w:spacing w:val="-4"/>
          <w:szCs w:val="21"/>
        </w:rPr>
        <w:t>广东省新兴县财政局政府采购监督管理股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olor w:val="auto"/>
          <w:spacing w:val="-4"/>
          <w:szCs w:val="21"/>
        </w:rPr>
        <w:t>广东省新兴县新城镇较场路33号</w:t>
      </w:r>
    </w:p>
    <w:p>
      <w:pPr>
        <w:spacing w:line="480" w:lineRule="exact"/>
        <w:ind w:right="200" w:firstLine="840" w:firstLineChars="400"/>
        <w:rPr>
          <w:rFonts w:hint="eastAsia" w:ascii="宋体" w:hAnsi="宋体"/>
          <w:color w:val="auto"/>
          <w:spacing w:val="-4"/>
          <w:szCs w:val="21"/>
        </w:rPr>
      </w:pPr>
      <w:r>
        <w:rPr>
          <w:rFonts w:hint="eastAsia" w:ascii="宋体" w:hAnsi="宋体"/>
          <w:color w:val="auto"/>
          <w:szCs w:val="21"/>
        </w:rPr>
        <w:t>电  话：</w:t>
      </w:r>
      <w:r>
        <w:rPr>
          <w:rFonts w:hint="eastAsia" w:ascii="宋体" w:hAnsi="宋体"/>
          <w:color w:val="auto"/>
          <w:spacing w:val="-4"/>
          <w:szCs w:val="21"/>
        </w:rPr>
        <w:t>0766-2882607</w:t>
      </w:r>
    </w:p>
    <w:p>
      <w:pPr>
        <w:spacing w:line="480" w:lineRule="exact"/>
        <w:ind w:right="200" w:firstLine="808" w:firstLineChars="400"/>
        <w:rPr>
          <w:rFonts w:hint="eastAsia" w:ascii="宋体" w:hAnsi="宋体"/>
          <w:color w:val="auto"/>
          <w:spacing w:val="-4"/>
          <w:szCs w:val="21"/>
          <w:lang w:eastAsia="zh-CN"/>
        </w:rPr>
      </w:pPr>
      <w:r>
        <w:rPr>
          <w:rFonts w:hint="eastAsia" w:ascii="宋体" w:hAnsi="宋体"/>
          <w:color w:val="auto"/>
          <w:spacing w:val="-4"/>
          <w:szCs w:val="21"/>
        </w:rPr>
        <w:t>传  真：0766-2882607</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4</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新兴县公安局新一代移动警务系统终端采购及配套服务采购项目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445381-201809-81434028-0021</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¥1,839,200.00元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center"/>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新兴县公安局新一代移动警务系统终端采购及配套服务采购项目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445381-201809-81434028-0021</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2"/>
        <w:gridCol w:w="10490"/>
        <w:gridCol w:w="666"/>
        <w:gridCol w:w="1428"/>
        <w:gridCol w:w="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542" w:hRule="atLeast"/>
          <w:jc w:val="center"/>
        </w:trPr>
        <w:tc>
          <w:tcPr>
            <w:tcW w:w="12086" w:type="dxa"/>
            <w:gridSpan w:val="3"/>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666" w:type="dxa"/>
            <w:vAlign w:val="center"/>
          </w:tcPr>
          <w:p>
            <w:pPr>
              <w:jc w:val="center"/>
              <w:rPr>
                <w:rFonts w:ascii="宋体"/>
                <w:color w:val="auto"/>
                <w:szCs w:val="21"/>
              </w:rPr>
            </w:pPr>
            <w:r>
              <w:rPr>
                <w:rFonts w:hint="eastAsia" w:ascii="宋体" w:hAnsi="宋体"/>
                <w:color w:val="auto"/>
                <w:szCs w:val="21"/>
              </w:rPr>
              <w:t>分值</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542"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0492" w:type="dxa"/>
            <w:gridSpan w:val="2"/>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5-4</w:t>
            </w:r>
            <w:r>
              <w:rPr>
                <w:rFonts w:hint="eastAsia" w:ascii="宋体" w:hAnsi="宋体" w:cs="宋体"/>
                <w:color w:val="auto"/>
                <w:sz w:val="18"/>
                <w:szCs w:val="18"/>
              </w:rPr>
              <w:t>分；良得</w:t>
            </w:r>
            <w:r>
              <w:rPr>
                <w:rFonts w:hint="eastAsia" w:ascii="宋体" w:hAnsi="宋体" w:cs="宋体"/>
                <w:color w:val="auto"/>
                <w:sz w:val="18"/>
                <w:szCs w:val="18"/>
                <w:lang w:val="en-US" w:eastAsia="zh-CN"/>
              </w:rPr>
              <w:t>3-2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主要技术要求</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对</w:t>
            </w:r>
            <w:r>
              <w:rPr>
                <w:rFonts w:hint="eastAsia" w:ascii="宋体" w:hAnsi="宋体" w:cs="宋体"/>
                <w:color w:val="auto"/>
                <w:sz w:val="18"/>
                <w:szCs w:val="18"/>
                <w:lang w:val="en-US" w:eastAsia="zh-CN"/>
              </w:rPr>
              <w:t>磋商文件</w:t>
            </w:r>
            <w:r>
              <w:rPr>
                <w:rFonts w:hint="eastAsia" w:ascii="宋体" w:hAnsi="宋体" w:cs="宋体"/>
                <w:color w:val="auto"/>
                <w:sz w:val="18"/>
                <w:szCs w:val="18"/>
              </w:rPr>
              <w:t>中设备的技术参数指标进行评分。完全满足或优于技术参数得</w:t>
            </w:r>
            <w:r>
              <w:rPr>
                <w:rFonts w:hint="eastAsia" w:ascii="宋体" w:hAnsi="宋体" w:cs="宋体"/>
                <w:color w:val="auto"/>
                <w:sz w:val="18"/>
                <w:szCs w:val="18"/>
                <w:lang w:val="en-US" w:eastAsia="zh-CN"/>
              </w:rPr>
              <w:t>35</w:t>
            </w:r>
            <w:r>
              <w:rPr>
                <w:rFonts w:hint="eastAsia" w:ascii="宋体" w:hAnsi="宋体" w:cs="宋体"/>
                <w:color w:val="auto"/>
                <w:sz w:val="18"/>
                <w:szCs w:val="18"/>
              </w:rPr>
              <w:t>分；带“▲”技术参数不满足的一项扣</w:t>
            </w:r>
            <w:r>
              <w:rPr>
                <w:rFonts w:hint="eastAsia" w:ascii="宋体" w:hAnsi="宋体" w:cs="宋体"/>
                <w:color w:val="auto"/>
                <w:sz w:val="18"/>
                <w:szCs w:val="18"/>
                <w:lang w:val="en-US" w:eastAsia="zh-CN"/>
              </w:rPr>
              <w:t>3</w:t>
            </w:r>
            <w:r>
              <w:rPr>
                <w:rFonts w:hint="eastAsia" w:ascii="宋体" w:hAnsi="宋体" w:cs="宋体"/>
                <w:color w:val="auto"/>
                <w:sz w:val="18"/>
                <w:szCs w:val="18"/>
              </w:rPr>
              <w:t>分；其他技术参数（除带“▲”以外）不满足的一项扣1分。</w:t>
            </w:r>
            <w:r>
              <w:rPr>
                <w:rFonts w:hint="eastAsia" w:ascii="宋体" w:hAnsi="宋体" w:cs="宋体"/>
                <w:color w:val="auto"/>
                <w:sz w:val="18"/>
                <w:szCs w:val="18"/>
                <w:lang w:eastAsia="en-US"/>
              </w:rPr>
              <w:t>扣至0分为止。</w:t>
            </w:r>
            <w:r>
              <w:rPr>
                <w:rFonts w:hint="eastAsia" w:ascii="宋体" w:hAnsi="宋体" w:cs="宋体"/>
                <w:color w:val="auto"/>
                <w:sz w:val="18"/>
                <w:szCs w:val="18"/>
              </w:rPr>
              <w:t>（提供产品中文说明书或彩页资料或厂家出具的截图并加盖公章证明其所投产品能满足或达到招标要求，不能提供证明其所投产品能满足或达到招标要求的将视为不满足）。</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35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4G基站数量</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广东省内移动通信网络覆盖完善情况</w:t>
            </w:r>
            <w:r>
              <w:rPr>
                <w:rFonts w:hint="eastAsia" w:ascii="宋体" w:hAnsi="宋体" w:cs="宋体"/>
                <w:color w:val="auto"/>
                <w:sz w:val="18"/>
                <w:szCs w:val="18"/>
                <w:lang w:val="en-US" w:eastAsia="zh-CN"/>
              </w:rPr>
              <w:t>:</w:t>
            </w:r>
            <w:r>
              <w:rPr>
                <w:rFonts w:hint="eastAsia" w:ascii="宋体" w:hAnsi="宋体" w:cs="宋体"/>
                <w:color w:val="auto"/>
                <w:sz w:val="18"/>
                <w:szCs w:val="18"/>
              </w:rPr>
              <w:t>广东省内4G基站数基站数量排名第1名得</w:t>
            </w:r>
            <w:r>
              <w:rPr>
                <w:rFonts w:hint="eastAsia" w:ascii="宋体" w:hAnsi="宋体" w:cs="宋体"/>
                <w:color w:val="auto"/>
                <w:sz w:val="18"/>
                <w:szCs w:val="18"/>
                <w:lang w:val="en-US" w:eastAsia="zh-CN"/>
              </w:rPr>
              <w:t>5</w:t>
            </w:r>
            <w:r>
              <w:rPr>
                <w:rFonts w:hint="eastAsia" w:ascii="宋体" w:hAnsi="宋体" w:cs="宋体"/>
                <w:color w:val="auto"/>
                <w:sz w:val="18"/>
                <w:szCs w:val="18"/>
              </w:rPr>
              <w:t>分，每退后一名扣</w:t>
            </w:r>
            <w:r>
              <w:rPr>
                <w:rFonts w:hint="eastAsia" w:ascii="宋体" w:hAnsi="宋体" w:cs="宋体"/>
                <w:color w:val="auto"/>
                <w:sz w:val="18"/>
                <w:szCs w:val="18"/>
                <w:lang w:val="en-US" w:eastAsia="zh-CN"/>
              </w:rPr>
              <w:t>2</w:t>
            </w:r>
            <w:r>
              <w:rPr>
                <w:rFonts w:hint="eastAsia" w:ascii="宋体" w:hAnsi="宋体" w:cs="宋体"/>
                <w:color w:val="auto"/>
                <w:sz w:val="18"/>
                <w:szCs w:val="18"/>
              </w:rPr>
              <w:t>分，扣完为止。</w:t>
            </w:r>
            <w:r>
              <w:rPr>
                <w:rFonts w:hint="eastAsia" w:ascii="宋体" w:hAnsi="宋体" w:cs="宋体"/>
                <w:color w:val="auto"/>
                <w:sz w:val="18"/>
                <w:szCs w:val="18"/>
              </w:rPr>
              <w:br w:type="textWrapping"/>
            </w:r>
            <w:r>
              <w:rPr>
                <w:rFonts w:hint="eastAsia" w:ascii="宋体" w:hAnsi="宋体" w:cs="宋体"/>
                <w:color w:val="auto"/>
                <w:sz w:val="18"/>
                <w:szCs w:val="18"/>
              </w:rPr>
              <w:t>基站数量以截至2017年底的统计数据为基准，须提供广东省通信管理局出具的第三方证明材料的复印件，如无法提供按“其它”算分。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移动电话用户数</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广东省内的移动电话用户数量情况</w:t>
            </w:r>
            <w:r>
              <w:rPr>
                <w:rFonts w:hint="eastAsia" w:ascii="宋体" w:hAnsi="宋体" w:cs="宋体"/>
                <w:color w:val="auto"/>
                <w:sz w:val="18"/>
                <w:szCs w:val="18"/>
                <w:lang w:val="en-US" w:eastAsia="zh-CN"/>
              </w:rPr>
              <w:t>:</w:t>
            </w:r>
            <w:r>
              <w:rPr>
                <w:rFonts w:hint="eastAsia" w:ascii="宋体" w:hAnsi="宋体" w:cs="宋体"/>
                <w:color w:val="auto"/>
                <w:sz w:val="18"/>
                <w:szCs w:val="18"/>
              </w:rPr>
              <w:t>移动电话用户数量排名第1名得</w:t>
            </w:r>
            <w:r>
              <w:rPr>
                <w:rFonts w:hint="eastAsia" w:ascii="宋体" w:hAnsi="宋体" w:cs="宋体"/>
                <w:color w:val="auto"/>
                <w:sz w:val="18"/>
                <w:szCs w:val="18"/>
                <w:lang w:val="en-US" w:eastAsia="zh-CN"/>
              </w:rPr>
              <w:t>5</w:t>
            </w:r>
            <w:r>
              <w:rPr>
                <w:rFonts w:hint="eastAsia" w:ascii="宋体" w:hAnsi="宋体" w:cs="宋体"/>
                <w:color w:val="auto"/>
                <w:sz w:val="18"/>
                <w:szCs w:val="18"/>
              </w:rPr>
              <w:t>分，每退后一名扣</w:t>
            </w:r>
            <w:r>
              <w:rPr>
                <w:rFonts w:hint="eastAsia" w:ascii="宋体" w:hAnsi="宋体" w:cs="宋体"/>
                <w:color w:val="auto"/>
                <w:sz w:val="18"/>
                <w:szCs w:val="18"/>
                <w:lang w:val="en-US" w:eastAsia="zh-CN"/>
              </w:rPr>
              <w:t>2</w:t>
            </w:r>
            <w:r>
              <w:rPr>
                <w:rFonts w:hint="eastAsia" w:ascii="宋体" w:hAnsi="宋体" w:cs="宋体"/>
                <w:color w:val="auto"/>
                <w:sz w:val="18"/>
                <w:szCs w:val="18"/>
              </w:rPr>
              <w:t>分，扣完为止。</w:t>
            </w:r>
            <w:r>
              <w:rPr>
                <w:rFonts w:hint="eastAsia" w:ascii="宋体" w:hAnsi="宋体" w:cs="宋体"/>
                <w:color w:val="auto"/>
                <w:sz w:val="18"/>
                <w:szCs w:val="18"/>
              </w:rPr>
              <w:br w:type="textWrapping"/>
            </w:r>
            <w:r>
              <w:rPr>
                <w:rFonts w:hint="eastAsia" w:ascii="宋体" w:hAnsi="宋体" w:cs="宋体"/>
                <w:color w:val="auto"/>
                <w:sz w:val="18"/>
                <w:szCs w:val="18"/>
              </w:rPr>
              <w:t>移动电话用户数量以2017年6月前的统计数据为基准，须提供广东省通信管理局出具的第三方证明材料的复印件，如无法提供按“其它”算分。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专业资质认证</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rPr>
              <w:t>具备以下证书，每</w:t>
            </w:r>
            <w:r>
              <w:rPr>
                <w:rFonts w:hint="eastAsia" w:ascii="宋体" w:hAnsi="宋体" w:cs="宋体"/>
                <w:color w:val="auto"/>
                <w:sz w:val="18"/>
                <w:szCs w:val="18"/>
                <w:lang w:val="en-US" w:eastAsia="zh-CN"/>
              </w:rPr>
              <w:t>提供1</w:t>
            </w:r>
            <w:r>
              <w:rPr>
                <w:rFonts w:hint="eastAsia" w:ascii="宋体" w:hAnsi="宋体" w:cs="宋体"/>
                <w:color w:val="auto"/>
                <w:sz w:val="18"/>
                <w:szCs w:val="18"/>
              </w:rPr>
              <w:t>个得</w:t>
            </w:r>
            <w:r>
              <w:rPr>
                <w:rFonts w:hint="eastAsia" w:ascii="宋体" w:hAnsi="宋体" w:cs="宋体"/>
                <w:color w:val="auto"/>
                <w:sz w:val="18"/>
                <w:szCs w:val="18"/>
                <w:lang w:val="en-US" w:eastAsia="zh-CN"/>
              </w:rPr>
              <w:t>2</w:t>
            </w:r>
            <w:r>
              <w:rPr>
                <w:rFonts w:hint="eastAsia" w:ascii="宋体" w:hAnsi="宋体" w:cs="宋体"/>
                <w:color w:val="auto"/>
                <w:sz w:val="18"/>
                <w:szCs w:val="18"/>
              </w:rPr>
              <w:t>分，</w:t>
            </w:r>
            <w:r>
              <w:rPr>
                <w:rFonts w:hint="eastAsia" w:ascii="宋体" w:hAnsi="宋体" w:cs="宋体"/>
                <w:color w:val="auto"/>
                <w:sz w:val="18"/>
                <w:szCs w:val="18"/>
                <w:lang w:val="en-US" w:eastAsia="zh-CN"/>
              </w:rPr>
              <w:t>共10</w:t>
            </w:r>
            <w:r>
              <w:rPr>
                <w:rFonts w:hint="eastAsia" w:ascii="宋体" w:hAnsi="宋体" w:cs="宋体"/>
                <w:color w:val="auto"/>
                <w:sz w:val="18"/>
                <w:szCs w:val="18"/>
              </w:rPr>
              <w:t>分：1、具备有效期内的ISO9001 质量管理体系认证证书；2、具备有效期内的ISO20000 信息技术服务管理体系认证证书；3、具备有效期内的ISO 27001 信息安全管理体系认证证书；4、具备有效期内的ISO14001  环境管理体系认证证书；5、具备有效期内的GB/T28001 职业安全健康管理体系认证证书；（须提供相关证书复印件及原件，</w:t>
            </w:r>
            <w:r>
              <w:rPr>
                <w:rFonts w:hint="eastAsia" w:ascii="宋体" w:hAnsi="宋体" w:cs="宋体"/>
                <w:color w:val="auto"/>
                <w:sz w:val="18"/>
                <w:szCs w:val="18"/>
                <w:lang w:val="en-US" w:eastAsia="zh-CN"/>
              </w:rPr>
              <w:t>原件核查，</w:t>
            </w:r>
            <w:r>
              <w:rPr>
                <w:rFonts w:hint="eastAsia" w:ascii="宋体" w:hAnsi="宋体" w:cs="宋体"/>
                <w:color w:val="auto"/>
                <w:sz w:val="18"/>
                <w:szCs w:val="18"/>
              </w:rPr>
              <w:t>复印件加盖公章)</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596" w:type="dxa"/>
            <w:gridSpan w:val="2"/>
            <w:vAlign w:val="center"/>
          </w:tcPr>
          <w:p>
            <w:pPr>
              <w:jc w:val="both"/>
              <w:rPr>
                <w:rFonts w:hint="eastAsia" w:ascii="宋体" w:hAnsi="宋体" w:cs="宋体"/>
                <w:color w:val="auto"/>
                <w:sz w:val="18"/>
                <w:szCs w:val="18"/>
              </w:rPr>
            </w:pPr>
            <w:r>
              <w:rPr>
                <w:rFonts w:hint="eastAsia" w:ascii="宋体" w:hAnsi="宋体"/>
                <w:color w:val="auto"/>
                <w:sz w:val="18"/>
                <w:szCs w:val="18"/>
              </w:rPr>
              <w:t>投标人信用</w:t>
            </w:r>
          </w:p>
        </w:tc>
        <w:tc>
          <w:tcPr>
            <w:tcW w:w="10490" w:type="dxa"/>
            <w:vAlign w:val="center"/>
          </w:tcPr>
          <w:p>
            <w:pPr>
              <w:rPr>
                <w:rFonts w:hint="eastAsia" w:ascii="宋体" w:hAnsi="宋体" w:cs="宋体"/>
                <w:color w:val="auto"/>
                <w:sz w:val="18"/>
                <w:szCs w:val="18"/>
              </w:rPr>
            </w:pPr>
            <w:r>
              <w:rPr>
                <w:rFonts w:ascii="宋体" w:hAnsi="宋体"/>
                <w:color w:val="auto"/>
                <w:sz w:val="18"/>
                <w:szCs w:val="18"/>
              </w:rPr>
              <w:t>投标人获得中国企业信用等级（按国家标准分三等九级制）评定A等级得2分，AA等级得2.5分,AAA等级得3分；B等级得0.5分，BB等级得1分，BBB等级得1.5分；对C至CCC等级的投标人和在投标时未提供其信用等级报告的不予得分。（提供地级</w:t>
            </w:r>
            <w:r>
              <w:rPr>
                <w:rFonts w:hint="eastAsia" w:ascii="宋体" w:hAnsi="宋体"/>
                <w:color w:val="auto"/>
                <w:sz w:val="18"/>
                <w:szCs w:val="18"/>
              </w:rPr>
              <w:t>市</w:t>
            </w:r>
            <w:r>
              <w:rPr>
                <w:rFonts w:ascii="宋体" w:hAnsi="宋体"/>
                <w:color w:val="auto"/>
                <w:sz w:val="18"/>
                <w:szCs w:val="18"/>
              </w:rPr>
              <w:t>以上的信用评价机构出具的信用报告复印件并加盖公章，原件备查）</w:t>
            </w:r>
            <w:r>
              <w:rPr>
                <w:rFonts w:hint="eastAsia" w:ascii="宋体" w:hAnsi="宋体"/>
                <w:color w:val="auto"/>
                <w:sz w:val="18"/>
                <w:szCs w:val="18"/>
              </w:rPr>
              <w:t xml:space="preserve"> </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olor w:val="auto"/>
                <w:sz w:val="18"/>
                <w:szCs w:val="18"/>
              </w:rPr>
              <w:t>3</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获奖情况</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eastAsia="zh-CN"/>
              </w:rPr>
              <w:t>报价人</w:t>
            </w:r>
            <w:r>
              <w:rPr>
                <w:rFonts w:hint="eastAsia" w:ascii="宋体" w:hAnsi="宋体" w:cs="宋体"/>
                <w:color w:val="auto"/>
                <w:sz w:val="18"/>
                <w:szCs w:val="18"/>
              </w:rPr>
              <w:t>2015年至今1、获得过国家级科学技术进步奖得</w:t>
            </w:r>
            <w:r>
              <w:rPr>
                <w:rFonts w:hint="eastAsia" w:ascii="宋体" w:hAnsi="宋体" w:cs="宋体"/>
                <w:color w:val="auto"/>
                <w:sz w:val="18"/>
                <w:szCs w:val="18"/>
                <w:lang w:val="en-US" w:eastAsia="zh-CN"/>
              </w:rPr>
              <w:t>6</w:t>
            </w:r>
            <w:r>
              <w:rPr>
                <w:rFonts w:hint="eastAsia" w:ascii="宋体" w:hAnsi="宋体" w:cs="宋体"/>
                <w:color w:val="auto"/>
                <w:sz w:val="18"/>
                <w:szCs w:val="18"/>
              </w:rPr>
              <w:t>分；2、省级科学技术进步奖得</w:t>
            </w:r>
            <w:r>
              <w:rPr>
                <w:rFonts w:hint="eastAsia" w:ascii="宋体" w:hAnsi="宋体" w:cs="宋体"/>
                <w:color w:val="auto"/>
                <w:sz w:val="18"/>
                <w:szCs w:val="18"/>
                <w:lang w:val="en-US" w:eastAsia="zh-CN"/>
              </w:rPr>
              <w:t>4</w:t>
            </w:r>
            <w:r>
              <w:rPr>
                <w:rFonts w:hint="eastAsia" w:ascii="宋体" w:hAnsi="宋体" w:cs="宋体"/>
                <w:color w:val="auto"/>
                <w:sz w:val="18"/>
                <w:szCs w:val="18"/>
              </w:rPr>
              <w:t>分；3、市级科学技术进步奖得</w:t>
            </w:r>
            <w:r>
              <w:rPr>
                <w:rFonts w:hint="eastAsia" w:ascii="宋体" w:hAnsi="宋体" w:cs="宋体"/>
                <w:color w:val="auto"/>
                <w:sz w:val="18"/>
                <w:szCs w:val="18"/>
                <w:lang w:val="en-US" w:eastAsia="zh-CN"/>
              </w:rPr>
              <w:t>2</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（以上三项评分，按单项评分最高的为最终得分结果，三项评分得分不累加，提供证书的复印件并加盖公章）</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6</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同类业绩</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val="en-US" w:eastAsia="zh-CN"/>
              </w:rPr>
              <w:t>提供</w:t>
            </w:r>
            <w:r>
              <w:rPr>
                <w:rFonts w:hint="eastAsia" w:ascii="宋体" w:hAnsi="宋体" w:cs="宋体"/>
                <w:color w:val="auto"/>
                <w:sz w:val="18"/>
                <w:szCs w:val="18"/>
              </w:rPr>
              <w:t>政法部门移动终端设备项目近三年业绩</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2016、2017、2108年</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的</w:t>
            </w:r>
            <w:r>
              <w:rPr>
                <w:rFonts w:hint="eastAsia" w:ascii="宋体" w:hAnsi="宋体" w:cs="宋体"/>
                <w:color w:val="auto"/>
                <w:sz w:val="18"/>
                <w:szCs w:val="18"/>
              </w:rPr>
              <w:t>终端数量进行评分：单个项目终端数量≥500台，每个项目得3分；300台≤单个项目终端数量＜500台，每个项目得2分；100台≤单个项目终端数量＜300台，每个项目得1分；其他不得分</w:t>
            </w:r>
            <w:r>
              <w:rPr>
                <w:rFonts w:hint="eastAsia" w:ascii="宋体" w:hAnsi="宋体" w:cs="宋体"/>
                <w:color w:val="auto"/>
                <w:sz w:val="18"/>
                <w:szCs w:val="18"/>
                <w:lang w:eastAsia="zh-CN"/>
              </w:rPr>
              <w:t>，</w:t>
            </w:r>
            <w:r>
              <w:rPr>
                <w:rFonts w:hint="eastAsia" w:ascii="宋体" w:hAnsi="宋体" w:cs="宋体"/>
                <w:color w:val="auto"/>
                <w:sz w:val="18"/>
                <w:szCs w:val="18"/>
              </w:rPr>
              <w:t>多个不同项目的得分可以累计，最高得</w:t>
            </w:r>
            <w:r>
              <w:rPr>
                <w:rFonts w:hint="eastAsia" w:ascii="宋体" w:hAnsi="宋体" w:cs="宋体"/>
                <w:color w:val="auto"/>
                <w:sz w:val="18"/>
                <w:szCs w:val="18"/>
                <w:lang w:val="en-US" w:eastAsia="zh-CN"/>
              </w:rPr>
              <w:t>10</w:t>
            </w:r>
            <w:r>
              <w:rPr>
                <w:rFonts w:hint="eastAsia" w:ascii="宋体" w:hAnsi="宋体" w:cs="宋体"/>
                <w:color w:val="auto"/>
                <w:sz w:val="18"/>
                <w:szCs w:val="18"/>
              </w:rPr>
              <w:t>分。（提供合同关键页复印件并加盖公章）</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售后服务</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eastAsia="zh-CN"/>
              </w:rPr>
              <w:t>报价人</w:t>
            </w:r>
            <w:r>
              <w:rPr>
                <w:rFonts w:hint="eastAsia" w:ascii="宋体" w:hAnsi="宋体" w:cs="宋体"/>
                <w:color w:val="auto"/>
                <w:sz w:val="18"/>
                <w:szCs w:val="18"/>
                <w:lang w:val="en-US" w:eastAsia="zh-CN"/>
              </w:rPr>
              <w:t>的</w:t>
            </w:r>
            <w:r>
              <w:rPr>
                <w:rFonts w:hint="eastAsia" w:ascii="宋体" w:hAnsi="宋体" w:cs="宋体"/>
                <w:color w:val="auto"/>
                <w:sz w:val="18"/>
                <w:szCs w:val="18"/>
              </w:rPr>
              <w:t>售后服务方案及便利性</w:t>
            </w:r>
            <w:r>
              <w:rPr>
                <w:rFonts w:hint="eastAsia" w:ascii="宋体" w:hAnsi="宋体" w:cs="宋体"/>
                <w:color w:val="auto"/>
                <w:sz w:val="18"/>
                <w:szCs w:val="18"/>
                <w:lang w:val="en-US" w:eastAsia="zh-CN"/>
              </w:rPr>
              <w:t>作</w:t>
            </w:r>
            <w:r>
              <w:rPr>
                <w:rFonts w:hint="eastAsia" w:ascii="宋体" w:hAnsi="宋体" w:cs="宋体"/>
                <w:color w:val="auto"/>
                <w:sz w:val="18"/>
                <w:szCs w:val="18"/>
              </w:rPr>
              <w:t>横向对比（售后服务方案、培训计划、售后服务机构所在地等）：优</w:t>
            </w:r>
            <w:r>
              <w:rPr>
                <w:rFonts w:hint="eastAsia" w:ascii="宋体" w:hAnsi="宋体" w:cs="宋体"/>
                <w:color w:val="auto"/>
                <w:sz w:val="18"/>
                <w:szCs w:val="18"/>
                <w:lang w:val="en-US" w:eastAsia="zh-CN"/>
              </w:rPr>
              <w:t>得6-</w:t>
            </w:r>
            <w:r>
              <w:rPr>
                <w:rFonts w:hint="eastAsia" w:ascii="宋体" w:hAnsi="宋体" w:cs="宋体"/>
                <w:color w:val="auto"/>
                <w:sz w:val="18"/>
                <w:szCs w:val="18"/>
              </w:rPr>
              <w:t>4分；良</w:t>
            </w:r>
            <w:r>
              <w:rPr>
                <w:rFonts w:hint="eastAsia" w:ascii="宋体" w:hAnsi="宋体" w:cs="宋体"/>
                <w:color w:val="auto"/>
                <w:sz w:val="18"/>
                <w:szCs w:val="18"/>
                <w:lang w:val="en-US" w:eastAsia="zh-CN"/>
              </w:rPr>
              <w:t>得</w:t>
            </w:r>
            <w:r>
              <w:rPr>
                <w:rFonts w:hint="eastAsia" w:ascii="宋体" w:hAnsi="宋体" w:cs="宋体"/>
                <w:color w:val="auto"/>
                <w:sz w:val="18"/>
                <w:szCs w:val="18"/>
              </w:rPr>
              <w:t>3</w:t>
            </w:r>
            <w:r>
              <w:rPr>
                <w:rFonts w:hint="eastAsia" w:ascii="宋体" w:hAnsi="宋体" w:cs="宋体"/>
                <w:color w:val="auto"/>
                <w:sz w:val="18"/>
                <w:szCs w:val="18"/>
                <w:lang w:val="en-US" w:eastAsia="zh-CN"/>
              </w:rPr>
              <w:t>-2</w:t>
            </w:r>
            <w:r>
              <w:rPr>
                <w:rFonts w:hint="eastAsia" w:ascii="宋体" w:hAnsi="宋体" w:cs="宋体"/>
                <w:color w:val="auto"/>
                <w:sz w:val="18"/>
                <w:szCs w:val="18"/>
              </w:rPr>
              <w:t>分；差</w:t>
            </w:r>
            <w:r>
              <w:rPr>
                <w:rFonts w:hint="eastAsia" w:ascii="宋体" w:hAnsi="宋体" w:cs="宋体"/>
                <w:color w:val="auto"/>
                <w:sz w:val="18"/>
                <w:szCs w:val="18"/>
                <w:lang w:val="en-US" w:eastAsia="zh-CN"/>
              </w:rPr>
              <w:t>得1-0</w:t>
            </w:r>
            <w:r>
              <w:rPr>
                <w:rFonts w:hint="eastAsia" w:ascii="宋体" w:hAnsi="宋体" w:cs="宋体"/>
                <w:color w:val="auto"/>
                <w:sz w:val="18"/>
                <w:szCs w:val="18"/>
              </w:rPr>
              <w:t>分。（提供售后服务方案、培训计划及营业执照复印件为准，并加盖</w:t>
            </w:r>
            <w:r>
              <w:rPr>
                <w:rFonts w:hint="eastAsia" w:ascii="宋体" w:hAnsi="宋体" w:cs="宋体"/>
                <w:color w:val="auto"/>
                <w:sz w:val="18"/>
                <w:szCs w:val="18"/>
                <w:lang w:eastAsia="zh-CN"/>
              </w:rPr>
              <w:t>报价人</w:t>
            </w:r>
            <w:r>
              <w:rPr>
                <w:rFonts w:hint="eastAsia" w:ascii="宋体" w:hAnsi="宋体" w:cs="宋体"/>
                <w:color w:val="auto"/>
                <w:sz w:val="18"/>
                <w:szCs w:val="18"/>
              </w:rPr>
              <w:t>公章，不提供不得分）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6</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jc w:val="center"/>
        </w:trPr>
        <w:tc>
          <w:tcPr>
            <w:tcW w:w="12086" w:type="dxa"/>
            <w:gridSpan w:val="3"/>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85</w:t>
            </w:r>
          </w:p>
        </w:tc>
        <w:tc>
          <w:tcPr>
            <w:tcW w:w="1448"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adjustRightInd w:val="0"/>
        <w:snapToGrid w:val="0"/>
        <w:spacing w:line="360" w:lineRule="auto"/>
        <w:outlineLvl w:val="0"/>
        <w:rPr>
          <w:rFonts w:hint="eastAsia" w:ascii="宋体" w:hAnsi="宋体" w:eastAsia="宋体" w:cs="宋体"/>
          <w:b/>
          <w:bCs/>
          <w:color w:val="auto"/>
          <w:sz w:val="28"/>
          <w:szCs w:val="28"/>
        </w:rPr>
      </w:pPr>
      <w:r>
        <w:rPr>
          <w:rFonts w:hint="eastAsia" w:ascii="宋体" w:hAnsi="宋体" w:eastAsia="宋体" w:cs="宋体"/>
          <w:b/>
          <w:bCs/>
          <w:color w:val="auto"/>
          <w:sz w:val="28"/>
          <w:szCs w:val="28"/>
        </w:rPr>
        <w:t>一、</w:t>
      </w:r>
      <w:r>
        <w:rPr>
          <w:rFonts w:hint="eastAsia" w:ascii="宋体" w:hAnsi="宋体" w:eastAsia="宋体" w:cs="宋体"/>
          <w:b/>
          <w:bCs/>
          <w:color w:val="auto"/>
          <w:sz w:val="30"/>
          <w:szCs w:val="30"/>
        </w:rPr>
        <w:t>项目概况</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eastAsia="宋体" w:cs="宋体"/>
          <w:b/>
          <w:bCs/>
          <w:color w:val="auto"/>
          <w:sz w:val="21"/>
          <w:szCs w:val="21"/>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z w:val="21"/>
          <w:szCs w:val="21"/>
        </w:rPr>
        <w:t>项目名称：</w:t>
      </w:r>
      <w:r>
        <w:rPr>
          <w:rFonts w:hint="eastAsia" w:ascii="宋体" w:hAnsi="宋体" w:eastAsia="宋体" w:cs="宋体"/>
          <w:b/>
          <w:bCs/>
          <w:color w:val="auto"/>
          <w:sz w:val="21"/>
          <w:szCs w:val="21"/>
          <w:lang w:eastAsia="zh-CN"/>
        </w:rPr>
        <w:t>新一代移动警务系统终端采购及配套服务采购项目</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2</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z w:val="21"/>
          <w:szCs w:val="21"/>
        </w:rPr>
        <w:t>预算金额：</w:t>
      </w:r>
      <w:r>
        <w:rPr>
          <w:rFonts w:hint="eastAsia" w:ascii="宋体" w:hAnsi="宋体" w:eastAsia="宋体" w:cs="宋体"/>
          <w:b/>
          <w:bCs/>
          <w:color w:val="auto"/>
          <w:sz w:val="21"/>
          <w:szCs w:val="21"/>
          <w:lang w:val="en-US" w:eastAsia="zh-CN"/>
        </w:rPr>
        <w:t>¥1,839,200.00元</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cs="宋体"/>
          <w:b/>
          <w:bCs/>
          <w:color w:val="auto"/>
          <w:sz w:val="21"/>
          <w:szCs w:val="21"/>
          <w:lang w:val="en-US" w:eastAsia="zh-CN"/>
        </w:rPr>
      </w:pPr>
      <w:r>
        <w:rPr>
          <w:rFonts w:hint="eastAsia" w:ascii="宋体" w:hAnsi="宋体" w:eastAsia="宋体" w:cs="宋体"/>
          <w:b/>
          <w:bCs/>
          <w:color w:val="auto"/>
          <w:sz w:val="21"/>
          <w:szCs w:val="21"/>
          <w:lang w:val="en-US" w:eastAsia="zh-CN"/>
        </w:rPr>
        <w:t>3.项目背景</w:t>
      </w:r>
      <w:r>
        <w:rPr>
          <w:rFonts w:hint="eastAsia" w:ascii="宋体" w:hAnsi="宋体" w:cs="宋体"/>
          <w:b/>
          <w:bCs/>
          <w:color w:val="auto"/>
          <w:sz w:val="21"/>
          <w:szCs w:val="21"/>
          <w:lang w:val="en-US" w:eastAsia="zh-CN"/>
        </w:rPr>
        <w:t>：</w:t>
      </w:r>
    </w:p>
    <w:p>
      <w:pPr>
        <w:pStyle w:val="66"/>
        <w:keepNext w:val="0"/>
        <w:keepLines w:val="0"/>
        <w:pageBreakBefore w:val="0"/>
        <w:kinsoku/>
        <w:wordWrap/>
        <w:overflowPunct/>
        <w:topLinePunct w:val="0"/>
        <w:bidi w:val="0"/>
        <w:adjustRightInd w:val="0"/>
        <w:spacing w:line="480" w:lineRule="auto"/>
        <w:ind w:firstLine="420" w:firstLineChars="200"/>
        <w:textAlignment w:val="auto"/>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随着互联网和智能手机的广泛应用，以电子商务（比如淘宝、京东、e代驾、滴滴打车等）为代表的互联网应用像雨后春笋般地出现，并以良好的用户体验感获得了民众的接受和点赞。网络社交媒体（比如微信、微博、Facebook、钉钉等）更是成为人们在工作和生活中进行沟通、协作的必要工具。这些互联网应用之所以被广大民众接受和喜爱，进而融入人们的工作和生活方式，是因为这些应用的“移动化”、无线宽带网对移动应用的支持、良好的移动应用体验感等。与应用丰富、体验良好的移动互联网应用相比，公安网应用相形见绌，既缺乏移动应用也没有良好的用户体验感，而且由于公安网与互联网的隔离，形成了公安网应用与移动互联网应用的鸿沟和差距，这成为公安信息化的痛点，使民警对公安信息化应用产生很大的反差。</w:t>
      </w:r>
    </w:p>
    <w:p>
      <w:pPr>
        <w:pStyle w:val="66"/>
        <w:keepNext w:val="0"/>
        <w:keepLines w:val="0"/>
        <w:pageBreakBefore w:val="0"/>
        <w:kinsoku/>
        <w:wordWrap/>
        <w:overflowPunct/>
        <w:topLinePunct w:val="0"/>
        <w:bidi w:val="0"/>
        <w:adjustRightInd w:val="0"/>
        <w:spacing w:line="480" w:lineRule="auto"/>
        <w:ind w:firstLine="420" w:firstLineChars="200"/>
        <w:textAlignment w:val="auto"/>
        <w:rPr>
          <w:rFonts w:hint="eastAsia"/>
          <w:color w:val="auto"/>
          <w:lang w:val="en-US" w:eastAsia="zh-CN"/>
        </w:rPr>
      </w:pPr>
      <w:r>
        <w:rPr>
          <w:rFonts w:hint="eastAsia" w:ascii="宋体" w:hAnsi="宋体" w:eastAsia="宋体" w:cs="Times New Roman"/>
          <w:color w:val="auto"/>
          <w:kern w:val="2"/>
          <w:sz w:val="21"/>
          <w:szCs w:val="24"/>
          <w:lang w:val="en-US" w:eastAsia="zh-CN" w:bidi="ar-SA"/>
        </w:rPr>
        <w:t>按照广东省厅智慧新警务的战略部署，为了实现“为民警造福”的理念，运用移动互联网思维，革新警务模式，创新服务方式，做好顶层设计，依托新一代移动技术，为民警打造一个方便快捷、优质高效的移动应用服务平台：一是以民警“管用、好用、爱用”为目标，进一步减轻民警工作强度、增强警务实战效能、提升整体战斗力；二是以信息资源的全面整合为目标，实现查询、采集、应用“一键触达”的效能；三是以人工智能等新技术的深度融合为目标，促进“智慧警务”的发展，提升民警获得感和满意度。为贯彻落实公安部《关于大力推进基础信息化建设的意见》和《公安发展“十三五”规划（2016-2020）》有关任务，满足当前公安业务需要，充分发挥移动警务在移动执法办案、现场业务办理、远程异地办公、在线便民服务等方面的积极作用。2016年6月15日，公安部科信局在广泛征求各地意见的基础上，制定并下发了《关于印发&lt;全国公安移动警务建设总体技术方案（2016版）&gt;的通知》（公科信〔2016〕79号），提出了公安新一代移动警务系统建设的目标任务、总体设计、重点任务和工作要求。为学习贯彻十九大精神，落实公安部“科技兴警”战略以及省政府“数字政府”建设为契机，开展我市智慧新警务云网端工程建设，为机关和基层民警配备双卡、双系统的智能移动终端，提高终端配备率。民警只需要携带一台手机，生活、工作两不误。新兴县公安局将根据省公安厅相关指导精神，启动新兴县移动警务终端服务采购工作。</w:t>
      </w:r>
    </w:p>
    <w:p>
      <w:pPr>
        <w:rPr>
          <w:rFonts w:hint="eastAsia"/>
          <w:color w:val="auto"/>
          <w:lang w:val="en-US" w:eastAsia="zh-CN"/>
        </w:rPr>
      </w:pPr>
    </w:p>
    <w:p>
      <w:pPr>
        <w:numPr>
          <w:ilvl w:val="0"/>
          <w:numId w:val="15"/>
        </w:numPr>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项目内容数量、明细、清单及要求一览表</w:t>
      </w:r>
    </w:p>
    <w:tbl>
      <w:tblPr>
        <w:tblStyle w:val="32"/>
        <w:tblW w:w="92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866"/>
        <w:gridCol w:w="4187"/>
        <w:gridCol w:w="1343"/>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669" w:type="dxa"/>
            <w:vAlign w:val="center"/>
          </w:tcPr>
          <w:p>
            <w:pPr>
              <w:jc w:val="center"/>
              <w:rPr>
                <w:rFonts w:hint="eastAsia" w:ascii="宋体" w:hAnsi="宋体"/>
                <w:color w:val="auto"/>
              </w:rPr>
            </w:pPr>
            <w:r>
              <w:rPr>
                <w:rFonts w:hint="eastAsia" w:ascii="宋体" w:hAnsi="宋体"/>
                <w:color w:val="auto"/>
              </w:rPr>
              <w:t>序号</w:t>
            </w:r>
          </w:p>
        </w:tc>
        <w:tc>
          <w:tcPr>
            <w:tcW w:w="1866" w:type="dxa"/>
            <w:vAlign w:val="center"/>
          </w:tcPr>
          <w:p>
            <w:pPr>
              <w:jc w:val="center"/>
              <w:rPr>
                <w:rFonts w:hint="eastAsia" w:ascii="宋体" w:hAnsi="宋体"/>
                <w:color w:val="auto"/>
              </w:rPr>
            </w:pPr>
            <w:r>
              <w:rPr>
                <w:rFonts w:hint="eastAsia" w:ascii="宋体" w:hAnsi="宋体"/>
                <w:color w:val="auto"/>
              </w:rPr>
              <w:t>设备名称</w:t>
            </w:r>
          </w:p>
        </w:tc>
        <w:tc>
          <w:tcPr>
            <w:tcW w:w="4187" w:type="dxa"/>
            <w:vAlign w:val="center"/>
          </w:tcPr>
          <w:p>
            <w:pPr>
              <w:jc w:val="center"/>
              <w:rPr>
                <w:rFonts w:hint="eastAsia" w:ascii="宋体" w:hAnsi="宋体"/>
                <w:color w:val="auto"/>
              </w:rPr>
            </w:pPr>
            <w:r>
              <w:rPr>
                <w:rFonts w:hint="eastAsia" w:ascii="宋体" w:hAnsi="宋体"/>
                <w:color w:val="auto"/>
              </w:rPr>
              <w:t>技术参数要求或</w:t>
            </w:r>
          </w:p>
          <w:p>
            <w:pPr>
              <w:jc w:val="center"/>
              <w:rPr>
                <w:rFonts w:hint="eastAsia" w:ascii="宋体" w:hAnsi="宋体"/>
                <w:color w:val="auto"/>
              </w:rPr>
            </w:pPr>
            <w:r>
              <w:rPr>
                <w:rFonts w:hint="eastAsia" w:ascii="宋体" w:hAnsi="宋体"/>
                <w:color w:val="auto"/>
              </w:rPr>
              <w:t>规格配置</w:t>
            </w:r>
          </w:p>
        </w:tc>
        <w:tc>
          <w:tcPr>
            <w:tcW w:w="1343" w:type="dxa"/>
            <w:vAlign w:val="center"/>
          </w:tcPr>
          <w:p>
            <w:pPr>
              <w:jc w:val="center"/>
              <w:rPr>
                <w:rFonts w:hint="eastAsia" w:ascii="宋体" w:hAnsi="宋体"/>
                <w:color w:val="auto"/>
              </w:rPr>
            </w:pPr>
            <w:r>
              <w:rPr>
                <w:rFonts w:hint="eastAsia" w:ascii="宋体" w:hAnsi="宋体"/>
                <w:color w:val="auto"/>
              </w:rPr>
              <w:t>数量</w:t>
            </w:r>
          </w:p>
        </w:tc>
        <w:tc>
          <w:tcPr>
            <w:tcW w:w="1195" w:type="dxa"/>
            <w:vAlign w:val="center"/>
          </w:tcPr>
          <w:p>
            <w:pPr>
              <w:jc w:val="center"/>
              <w:rPr>
                <w:rFonts w:hint="eastAsia" w:ascii="宋体" w:hAnsi="宋体"/>
                <w:color w:val="auto"/>
              </w:rPr>
            </w:pPr>
            <w:r>
              <w:rPr>
                <w:rFonts w:hint="eastAsia" w:ascii="宋体" w:hAnsi="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0" w:hRule="atLeast"/>
        </w:trPr>
        <w:tc>
          <w:tcPr>
            <w:tcW w:w="669" w:type="dxa"/>
            <w:vAlign w:val="center"/>
          </w:tcPr>
          <w:p>
            <w:pPr>
              <w:rPr>
                <w:rFonts w:hint="eastAsia" w:ascii="宋体" w:hAnsi="宋体"/>
                <w:color w:val="auto"/>
              </w:rPr>
            </w:pPr>
          </w:p>
          <w:p>
            <w:pPr>
              <w:rPr>
                <w:rFonts w:hint="eastAsia" w:ascii="宋体" w:hAnsi="宋体"/>
                <w:color w:val="auto"/>
              </w:rPr>
            </w:pPr>
          </w:p>
          <w:p>
            <w:pPr>
              <w:rPr>
                <w:rFonts w:hint="eastAsia" w:ascii="宋体" w:hAnsi="宋体"/>
                <w:color w:val="auto"/>
              </w:rPr>
            </w:pPr>
          </w:p>
          <w:p>
            <w:pPr>
              <w:jc w:val="center"/>
              <w:rPr>
                <w:rFonts w:hint="eastAsia" w:ascii="宋体" w:hAnsi="宋体"/>
                <w:color w:val="auto"/>
              </w:rPr>
            </w:pPr>
            <w:r>
              <w:rPr>
                <w:rFonts w:hint="eastAsia" w:ascii="宋体" w:hAnsi="宋体"/>
                <w:color w:val="auto"/>
              </w:rPr>
              <w:t>1</w:t>
            </w:r>
          </w:p>
          <w:p>
            <w:pPr>
              <w:rPr>
                <w:rFonts w:hint="eastAsia" w:ascii="宋体" w:hAnsi="宋体"/>
                <w:color w:val="auto"/>
              </w:rPr>
            </w:pPr>
          </w:p>
          <w:p>
            <w:pPr>
              <w:rPr>
                <w:rFonts w:hint="eastAsia" w:ascii="宋体" w:hAnsi="宋体"/>
                <w:color w:val="auto"/>
              </w:rPr>
            </w:pPr>
          </w:p>
        </w:tc>
        <w:tc>
          <w:tcPr>
            <w:tcW w:w="1866" w:type="dxa"/>
            <w:vAlign w:val="center"/>
          </w:tcPr>
          <w:p>
            <w:pPr>
              <w:jc w:val="center"/>
              <w:rPr>
                <w:rFonts w:hint="eastAsia" w:ascii="宋体" w:hAnsi="宋体"/>
                <w:color w:val="auto"/>
              </w:rPr>
            </w:pPr>
            <w:r>
              <w:rPr>
                <w:rFonts w:hint="eastAsia" w:ascii="宋体" w:hAnsi="宋体" w:eastAsia="宋体"/>
                <w:color w:val="auto"/>
              </w:rPr>
              <w:t>公安版专用移动终端（手机）</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CPU：国产CPU,八核（4核2.3GHz+4核1.8GHz）或同等性能以上；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全网通双卡双待；</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3. 触摸屏：多点触控触摸屏；</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4. 屏幕尺寸6.0英寸或以上；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5. 屏幕色彩1670万色或以上；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▲6. 分辨率：2160*1080或以上；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▲7.运行内存（RAM）6GB或以上；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▲8.机身内存（ROM）128GB或以上；</w:t>
            </w:r>
          </w:p>
          <w:p>
            <w:pPr>
              <w:spacing w:line="440" w:lineRule="exact"/>
              <w:jc w:val="both"/>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▲9. 电池容量不低于4000毫安；最大支持5A大电流快速充电；</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10. 后置摄像头至少1200万（彩色）＋2000万（黑白），f/1.6光圈，徕卡镜头，支持OIS光学防抖；</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11. 前置摄像头至少800万像素，F2.0光圈；</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12. 具备全球定位系统（GPS、北斗等）；</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13. 支持指纹识别解锁功能；</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▲14.采用单kernel、双安卓系统（Android8.0及以上操作系统）方式实现，一个系统为安全系统，一个为互联网系统，两个系统没有主次，是并列关系，同时运行，切换时间不超过3秒；</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15. 要求两个系统完全隔离，数据不能共享(SIM卡中保存的数据除外)；两个系统的配置各自独立，互不影响；</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16. 对于此定制机型，只能刷定制的双系统ROM包，不能刷其他ROM包；</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17. 两个系统预置，任何一个系统不能删除，创建或控制另外一个系统；</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18. 系统需要防root；</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19. 两个系统都能接电话。当前在哪个系统接电话，通话记录保存在哪个系统。通话过程不能切换系统；</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20. 两个系统都能收短信，当前在哪个系统，短信属于哪个系统。两个系统短信相互独立存储，相互不能访问；</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21. 系统需要预制指定APP程序，预制APP程序需要开机自启动、防杀死、防卸载；</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22. 熔断机制：芯片在面对极端攻击时可自毁，保证信息安全；</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23. 安全系统应可以定制预装专用即时通信软件、MDM终端设备管理软件、接入认证安全客户端软件等必要的应用程序；</w:t>
            </w:r>
          </w:p>
          <w:p>
            <w:pPr>
              <w:jc w:val="center"/>
              <w:rPr>
                <w:rFonts w:hint="eastAsia" w:ascii="宋体" w:hAnsi="宋体"/>
                <w:color w:val="auto"/>
              </w:rPr>
            </w:pPr>
            <w:r>
              <w:rPr>
                <w:rFonts w:hint="eastAsia" w:ascii="宋体" w:hAnsi="宋体" w:eastAsia="宋体" w:cs="Times New Roman"/>
                <w:color w:val="auto"/>
                <w:kern w:val="2"/>
                <w:sz w:val="21"/>
                <w:szCs w:val="24"/>
                <w:lang w:val="en-US" w:eastAsia="zh-CN" w:bidi="ar-SA"/>
              </w:rPr>
              <w:t>24. 具有工信部颁发的有效的《电信设备进网许可证》（提供证书复印件）</w:t>
            </w:r>
          </w:p>
        </w:tc>
        <w:tc>
          <w:tcPr>
            <w:tcW w:w="1343" w:type="dxa"/>
            <w:vAlign w:val="center"/>
          </w:tcPr>
          <w:p>
            <w:pPr>
              <w:jc w:val="center"/>
              <w:rPr>
                <w:rFonts w:hint="eastAsia" w:ascii="宋体" w:hAnsi="宋体"/>
                <w:color w:val="auto"/>
              </w:rPr>
            </w:pPr>
            <w:r>
              <w:rPr>
                <w:rFonts w:hint="eastAsia" w:ascii="宋体" w:hAnsi="宋体" w:eastAsia="宋体"/>
                <w:color w:val="auto"/>
                <w:szCs w:val="22"/>
                <w:lang w:val="en-US" w:eastAsia="zh-CN"/>
              </w:rPr>
              <w:t>209</w:t>
            </w:r>
          </w:p>
        </w:tc>
        <w:tc>
          <w:tcPr>
            <w:tcW w:w="1195" w:type="dxa"/>
            <w:vAlign w:val="center"/>
          </w:tcPr>
          <w:p>
            <w:pPr>
              <w:rPr>
                <w:rFonts w:hint="eastAsia" w:ascii="宋体" w:hAnsi="宋体" w:eastAsia="宋体"/>
                <w:color w:val="auto"/>
                <w:lang w:eastAsia="zh-CN"/>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1" w:hRule="atLeast"/>
        </w:trPr>
        <w:tc>
          <w:tcPr>
            <w:tcW w:w="669" w:type="dxa"/>
            <w:vAlign w:val="center"/>
          </w:tcPr>
          <w:p>
            <w:pPr>
              <w:rPr>
                <w:rFonts w:hint="eastAsia" w:ascii="宋体" w:hAnsi="宋体"/>
                <w:color w:val="auto"/>
              </w:rPr>
            </w:pPr>
          </w:p>
          <w:p>
            <w:pPr>
              <w:rPr>
                <w:rFonts w:hint="eastAsia" w:ascii="宋体" w:hAnsi="宋体"/>
                <w:color w:val="auto"/>
              </w:rPr>
            </w:pPr>
          </w:p>
          <w:p>
            <w:pPr>
              <w:jc w:val="center"/>
              <w:rPr>
                <w:rFonts w:hint="eastAsia" w:ascii="宋体" w:hAnsi="宋体"/>
                <w:color w:val="auto"/>
              </w:rPr>
            </w:pPr>
            <w:r>
              <w:rPr>
                <w:rFonts w:hint="eastAsia" w:ascii="宋体" w:hAnsi="宋体"/>
                <w:color w:val="auto"/>
              </w:rPr>
              <w:t>2</w:t>
            </w:r>
          </w:p>
          <w:p>
            <w:pPr>
              <w:rPr>
                <w:rFonts w:hint="eastAsia" w:ascii="宋体" w:hAnsi="宋体"/>
                <w:color w:val="auto"/>
              </w:rPr>
            </w:pPr>
          </w:p>
          <w:p>
            <w:pPr>
              <w:rPr>
                <w:rFonts w:hint="eastAsia" w:ascii="宋体" w:hAnsi="宋体"/>
                <w:color w:val="auto"/>
              </w:rPr>
            </w:pPr>
          </w:p>
          <w:p>
            <w:pPr>
              <w:rPr>
                <w:rFonts w:hint="eastAsia" w:ascii="宋体" w:hAnsi="宋体"/>
                <w:color w:val="auto"/>
              </w:rPr>
            </w:pPr>
          </w:p>
        </w:tc>
        <w:tc>
          <w:tcPr>
            <w:tcW w:w="1866" w:type="dxa"/>
            <w:vAlign w:val="center"/>
          </w:tcPr>
          <w:p>
            <w:pPr>
              <w:jc w:val="center"/>
              <w:rPr>
                <w:rFonts w:hint="eastAsia" w:ascii="宋体" w:hAnsi="宋体"/>
                <w:color w:val="auto"/>
              </w:rPr>
            </w:pPr>
            <w:r>
              <w:rPr>
                <w:rFonts w:hint="eastAsia" w:ascii="宋体" w:hAnsi="宋体" w:eastAsia="宋体"/>
                <w:color w:val="auto"/>
              </w:rPr>
              <w:t>安全智能薄膜</w:t>
            </w:r>
            <w:r>
              <w:rPr>
                <w:rFonts w:ascii="宋体" w:hAnsi="宋体" w:eastAsia="宋体"/>
                <w:color w:val="auto"/>
              </w:rPr>
              <w:t>卡</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集成安全芯片，用于配合各种移动终端完成数据加解密、数字签名和签名验证、消息摘要和消息完整性检验等操作。放置在一般的SIM卡上再插入智能终端的卡槽中，可为智能终端提供身份认证和信息加密服务，使普通智能终端成为安全终端。</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▲2.结构要求：采用贴膜设计，须支持直接贴到SIM卡上。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▲3.须支持标准SIM卡、Micro SIM卡和Nano SIM卡三种SIM卡类型。</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4. 证书服务标准：PKCS#11，CSP，X.509v3，国密SKF。</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5. 须支持RSA、SM1、SM2、SM3、SM4密码算法。</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6. 存储器保存：至少10年；</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7. 存储器擦写次数：至少8万次；</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8. RSA1024密钥对生成：1s/对；</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9. RSA1024签名/解密：5次/s；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10. RSA1024验证/加密：25次/s；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11. SM2密钥对生成：2s/对；</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12. SM2签名/解密：1次/s；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13. SM2验证/加密： 1次/s；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14. SM3：5次/s；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15. SM1加解密：30KB/秒</w:t>
            </w:r>
          </w:p>
          <w:p>
            <w:pPr>
              <w:pStyle w:val="66"/>
              <w:rPr>
                <w:rFonts w:hint="eastAsia" w:ascii="宋体" w:hAnsi="宋体"/>
                <w:color w:val="auto"/>
              </w:rPr>
            </w:pPr>
            <w:r>
              <w:rPr>
                <w:rFonts w:hint="eastAsia" w:ascii="宋体" w:hAnsi="宋体" w:eastAsia="宋体" w:cs="Times New Roman"/>
                <w:color w:val="auto"/>
                <w:kern w:val="2"/>
                <w:sz w:val="21"/>
                <w:szCs w:val="24"/>
                <w:lang w:val="en-US" w:eastAsia="zh-CN" w:bidi="ar-SA"/>
              </w:rPr>
              <w:t>16. SM4加解密：30KB/秒</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2" w:hRule="atLeast"/>
        </w:trPr>
        <w:tc>
          <w:tcPr>
            <w:tcW w:w="669" w:type="dxa"/>
            <w:vAlign w:val="center"/>
          </w:tcPr>
          <w:p>
            <w:pPr>
              <w:rPr>
                <w:rFonts w:hint="eastAsia" w:ascii="宋体" w:hAnsi="宋体" w:eastAsia="宋体"/>
                <w:color w:val="auto"/>
                <w:lang w:val="en-US" w:eastAsia="zh-CN"/>
              </w:rPr>
            </w:pPr>
            <w:r>
              <w:rPr>
                <w:rFonts w:hint="eastAsia" w:ascii="宋体" w:hAnsi="宋体"/>
                <w:color w:val="auto"/>
                <w:lang w:val="en-US" w:eastAsia="zh-CN"/>
              </w:rPr>
              <w:t>3</w:t>
            </w:r>
          </w:p>
        </w:tc>
        <w:tc>
          <w:tcPr>
            <w:tcW w:w="1866" w:type="dxa"/>
            <w:vAlign w:val="center"/>
          </w:tcPr>
          <w:p>
            <w:pPr>
              <w:jc w:val="center"/>
              <w:rPr>
                <w:rFonts w:hint="eastAsia" w:ascii="宋体" w:hAnsi="宋体"/>
                <w:color w:val="auto"/>
              </w:rPr>
            </w:pPr>
            <w:r>
              <w:rPr>
                <w:rFonts w:hint="eastAsia" w:ascii="宋体" w:hAnsi="宋体" w:eastAsia="宋体"/>
                <w:color w:val="auto"/>
              </w:rPr>
              <w:t>终端安全管控系统</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1、符合新兴县公安局统一移动终端管控（MDM）平台要求，实现全市终端统一管控；</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满足公安部、广东省公安厅对终端管控功能要求；能与广东省公安厅移动终端管控平台对接</w:t>
            </w:r>
          </w:p>
          <w:p>
            <w:pPr>
              <w:pStyle w:val="66"/>
              <w:rPr>
                <w:rFonts w:hint="eastAsia" w:ascii="宋体" w:hAnsi="宋体"/>
                <w:color w:val="auto"/>
              </w:rPr>
            </w:pPr>
            <w:r>
              <w:rPr>
                <w:rFonts w:hint="eastAsia" w:ascii="宋体" w:hAnsi="宋体" w:eastAsia="宋体" w:cs="Times New Roman"/>
                <w:color w:val="auto"/>
                <w:kern w:val="2"/>
                <w:sz w:val="21"/>
                <w:szCs w:val="24"/>
                <w:lang w:val="en-US" w:eastAsia="zh-CN" w:bidi="ar-SA"/>
              </w:rPr>
              <w:t>3. 每个终端包含一个MDM移动终端安全管理软件许可，通过部署在新兴县公安局MDM平台实现如下功能：对移动终端进行管理，接收来自管理平台的查询、指令等各种信息,包括移动设备管理、用户及设备管理、配置管理、安全管理等，可查看设备状态，下发策略，应用推送部署，对设备进行远程控制等，实现对移动设备的全面管理，终端被组合键恢复出厂设置后依然能被管控，终端被 ROOT 后立即被锁机或者被擦除。</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669" w:type="dxa"/>
            <w:vAlign w:val="center"/>
          </w:tcPr>
          <w:p>
            <w:pPr>
              <w:rPr>
                <w:rFonts w:hint="eastAsia" w:ascii="宋体" w:hAnsi="宋体" w:eastAsia="宋体"/>
                <w:color w:val="auto"/>
                <w:lang w:val="en-US" w:eastAsia="zh-CN"/>
              </w:rPr>
            </w:pPr>
            <w:r>
              <w:rPr>
                <w:rFonts w:hint="eastAsia" w:ascii="宋体" w:hAnsi="宋体"/>
                <w:color w:val="auto"/>
                <w:lang w:val="en-US" w:eastAsia="zh-CN"/>
              </w:rPr>
              <w:t>4</w:t>
            </w:r>
          </w:p>
        </w:tc>
        <w:tc>
          <w:tcPr>
            <w:tcW w:w="1866" w:type="dxa"/>
            <w:vAlign w:val="center"/>
          </w:tcPr>
          <w:p>
            <w:pPr>
              <w:rPr>
                <w:rFonts w:hint="eastAsia" w:ascii="宋体" w:hAnsi="宋体"/>
                <w:color w:val="auto"/>
              </w:rPr>
            </w:pPr>
            <w:r>
              <w:rPr>
                <w:rFonts w:hint="eastAsia" w:ascii="宋体" w:hAnsi="宋体" w:eastAsia="宋体"/>
                <w:color w:val="auto"/>
              </w:rPr>
              <w:t>专用移动设备流量套餐</w:t>
            </w:r>
          </w:p>
        </w:tc>
        <w:tc>
          <w:tcPr>
            <w:tcW w:w="4187" w:type="dxa"/>
            <w:vAlign w:val="center"/>
          </w:tcPr>
          <w:p>
            <w:pPr>
              <w:spacing w:line="440" w:lineRule="exact"/>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（1）SIM卡，可新开卡或者利旧原有卡；</w:t>
            </w:r>
          </w:p>
          <w:p>
            <w:pPr>
              <w:rPr>
                <w:rFonts w:hint="eastAsia" w:ascii="宋体" w:hAnsi="宋体"/>
                <w:color w:val="auto"/>
              </w:rPr>
            </w:pP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1" w:hRule="atLeast"/>
        </w:trPr>
        <w:tc>
          <w:tcPr>
            <w:tcW w:w="669" w:type="dxa"/>
            <w:vAlign w:val="center"/>
          </w:tcPr>
          <w:p>
            <w:pPr>
              <w:rPr>
                <w:rFonts w:hint="eastAsia" w:ascii="宋体" w:hAnsi="宋体"/>
                <w:color w:val="auto"/>
                <w:lang w:val="en-US" w:eastAsia="zh-CN"/>
              </w:rPr>
            </w:pPr>
            <w:r>
              <w:rPr>
                <w:rFonts w:hint="eastAsia" w:ascii="宋体" w:hAnsi="宋体"/>
                <w:color w:val="auto"/>
                <w:lang w:val="en-US" w:eastAsia="zh-CN"/>
              </w:rPr>
              <w:t>5</w:t>
            </w:r>
          </w:p>
        </w:tc>
        <w:tc>
          <w:tcPr>
            <w:tcW w:w="1866" w:type="dxa"/>
            <w:vAlign w:val="center"/>
          </w:tcPr>
          <w:p>
            <w:pPr>
              <w:jc w:val="center"/>
              <w:rPr>
                <w:rFonts w:hint="eastAsia" w:ascii="宋体" w:hAnsi="宋体"/>
                <w:color w:val="auto"/>
              </w:rPr>
            </w:pPr>
            <w:r>
              <w:rPr>
                <w:rFonts w:hint="eastAsia" w:ascii="宋体" w:hAnsi="宋体" w:eastAsia="宋体"/>
                <w:color w:val="auto"/>
              </w:rPr>
              <w:t>APN专线</w:t>
            </w:r>
          </w:p>
        </w:tc>
        <w:tc>
          <w:tcPr>
            <w:tcW w:w="4187" w:type="dxa"/>
            <w:vAlign w:val="center"/>
          </w:tcPr>
          <w:p>
            <w:pPr>
              <w:spacing w:line="440" w:lineRule="exact"/>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提供至少100M带宽的具备物理双路由冗余备份的VPDN/APN专线统一接入到新兴县公安局。连接到市移动警务联网服务子平台，与省厅公安移动信息网互联互通，用于全市移动警务终端接入公安移动信息网</w:t>
            </w:r>
          </w:p>
          <w:p>
            <w:pPr>
              <w:spacing w:line="440" w:lineRule="exact"/>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保证前端4G无线数据、视频和语音的传输质量；</w:t>
            </w:r>
          </w:p>
          <w:p>
            <w:pPr>
              <w:rPr>
                <w:rFonts w:hint="eastAsia" w:ascii="宋体" w:hAnsi="宋体"/>
                <w:color w:val="auto"/>
              </w:rPr>
            </w:pPr>
            <w:r>
              <w:rPr>
                <w:rFonts w:hint="eastAsia" w:ascii="宋体" w:hAnsi="宋体" w:eastAsia="宋体" w:cs="Times New Roman"/>
                <w:color w:val="auto"/>
                <w:kern w:val="2"/>
                <w:sz w:val="21"/>
                <w:szCs w:val="24"/>
                <w:lang w:val="en-US" w:eastAsia="zh-CN" w:bidi="ar-SA"/>
              </w:rPr>
              <w:t>3. 配备的线路及设备支持迅速无缝扩容，满足日后移动警务用户增加的接入数据传输要求。</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1</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bl>
    <w:p>
      <w:pPr>
        <w:keepNext w:val="0"/>
        <w:keepLines w:val="0"/>
        <w:pageBreakBefore w:val="0"/>
        <w:kinsoku/>
        <w:wordWrap/>
        <w:overflowPunct/>
        <w:topLinePunct w:val="0"/>
        <w:bidi w:val="0"/>
        <w:spacing w:line="480" w:lineRule="auto"/>
        <w:jc w:val="left"/>
        <w:outlineLvl w:val="9"/>
        <w:rPr>
          <w:rFonts w:hint="eastAsia" w:ascii="inherit"/>
          <w:color w:val="auto"/>
        </w:rPr>
      </w:pPr>
      <w:r>
        <w:rPr>
          <w:rFonts w:hint="eastAsia" w:ascii="inherit"/>
          <w:color w:val="auto"/>
          <w:lang w:val="en-US" w:eastAsia="zh-CN"/>
        </w:rPr>
        <w:t>注：1、</w:t>
      </w:r>
      <w:r>
        <w:rPr>
          <w:rFonts w:ascii="inherit"/>
          <w:color w:val="auto"/>
        </w:rPr>
        <w:t>本项目为一个整体，</w:t>
      </w:r>
      <w:r>
        <w:rPr>
          <w:rFonts w:hint="eastAsia" w:ascii="inherit"/>
          <w:color w:val="auto"/>
          <w:lang w:eastAsia="zh-CN"/>
        </w:rPr>
        <w:t>报价人</w:t>
      </w:r>
      <w:r>
        <w:rPr>
          <w:rFonts w:ascii="inherit"/>
          <w:color w:val="auto"/>
        </w:rPr>
        <w:t>须对全部内容进行投标，不得分拆</w:t>
      </w:r>
      <w:r>
        <w:rPr>
          <w:rFonts w:hint="eastAsia" w:ascii="inherit"/>
          <w:color w:val="auto"/>
        </w:rPr>
        <w:t>。</w:t>
      </w:r>
    </w:p>
    <w:p>
      <w:pPr>
        <w:keepNext w:val="0"/>
        <w:keepLines w:val="0"/>
        <w:pageBreakBefore w:val="0"/>
        <w:kinsoku/>
        <w:wordWrap/>
        <w:overflowPunct/>
        <w:topLinePunct w:val="0"/>
        <w:autoSpaceDE w:val="0"/>
        <w:autoSpaceDN w:val="0"/>
        <w:bidi w:val="0"/>
        <w:snapToGrid w:val="0"/>
        <w:spacing w:line="480" w:lineRule="auto"/>
        <w:jc w:val="both"/>
        <w:outlineLvl w:val="9"/>
        <w:rPr>
          <w:rFonts w:hint="eastAsia" w:ascii="宋体" w:hAnsi="宋体" w:cs="宋体"/>
          <w:b/>
          <w:bCs/>
          <w:color w:val="auto"/>
          <w:sz w:val="28"/>
          <w:szCs w:val="28"/>
        </w:rPr>
      </w:pPr>
      <w:r>
        <w:rPr>
          <w:rFonts w:hint="eastAsia" w:ascii="宋体" w:hAnsi="宋体" w:eastAsia="宋体" w:cs="Times New Roman"/>
          <w:color w:val="auto"/>
          <w:kern w:val="2"/>
          <w:sz w:val="21"/>
          <w:szCs w:val="24"/>
          <w:lang w:val="en-US" w:eastAsia="zh-CN" w:bidi="ar-SA"/>
        </w:rPr>
        <w:t>▲</w:t>
      </w:r>
      <w:r>
        <w:rPr>
          <w:rFonts w:hint="eastAsia" w:ascii="inherit"/>
          <w:color w:val="auto"/>
          <w:lang w:val="en-US" w:eastAsia="zh-CN"/>
        </w:rPr>
        <w:t>2、</w:t>
      </w:r>
      <w:r>
        <w:rPr>
          <w:rFonts w:ascii="inherit"/>
          <w:color w:val="auto"/>
        </w:rPr>
        <w:t>若</w:t>
      </w:r>
      <w:r>
        <w:rPr>
          <w:rFonts w:hint="eastAsia" w:ascii="inherit"/>
          <w:color w:val="auto"/>
        </w:rPr>
        <w:t>投标供应商</w:t>
      </w:r>
      <w:r>
        <w:rPr>
          <w:rFonts w:ascii="inherit"/>
          <w:color w:val="auto"/>
        </w:rPr>
        <w:t>不是所投产品的制造商，须提供制造商</w:t>
      </w:r>
      <w:r>
        <w:rPr>
          <w:rFonts w:hint="eastAsia" w:ascii="inherit"/>
          <w:color w:val="auto"/>
        </w:rPr>
        <w:t>或经销、代理商</w:t>
      </w:r>
      <w:r>
        <w:rPr>
          <w:rFonts w:ascii="inherit"/>
          <w:color w:val="auto"/>
        </w:rPr>
        <w:t>对所投产品的有效授权证明文件</w:t>
      </w:r>
      <w:r>
        <w:rPr>
          <w:rFonts w:hint="eastAsia" w:ascii="inherit"/>
          <w:color w:val="auto"/>
          <w:lang w:eastAsia="zh-CN"/>
        </w:rPr>
        <w:t>。</w:t>
      </w:r>
    </w:p>
    <w:p>
      <w:pPr>
        <w:keepNext w:val="0"/>
        <w:keepLines w:val="0"/>
        <w:pageBreakBefore w:val="0"/>
        <w:kinsoku/>
        <w:wordWrap/>
        <w:overflowPunct/>
        <w:topLinePunct w:val="0"/>
        <w:autoSpaceDE w:val="0"/>
        <w:autoSpaceDN w:val="0"/>
        <w:bidi w:val="0"/>
        <w:snapToGrid w:val="0"/>
        <w:spacing w:line="480" w:lineRule="auto"/>
        <w:jc w:val="both"/>
        <w:outlineLvl w:val="9"/>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rPr>
        <w:t>三、</w:t>
      </w:r>
      <w:r>
        <w:rPr>
          <w:rFonts w:hint="eastAsia" w:ascii="宋体" w:hAnsi="宋体" w:cs="宋体"/>
          <w:b/>
          <w:bCs/>
          <w:color w:val="auto"/>
          <w:sz w:val="28"/>
          <w:szCs w:val="28"/>
          <w:lang w:val="en-US" w:eastAsia="zh-CN"/>
        </w:rPr>
        <w:t>售后服务</w:t>
      </w:r>
    </w:p>
    <w:p>
      <w:pPr>
        <w:keepNext w:val="0"/>
        <w:keepLines w:val="0"/>
        <w:pageBreakBefore w:val="0"/>
        <w:kinsoku/>
        <w:wordWrap/>
        <w:overflowPunct/>
        <w:topLinePunct w:val="0"/>
        <w:bidi w:val="0"/>
        <w:snapToGrid w:val="0"/>
        <w:spacing w:line="480" w:lineRule="auto"/>
        <w:jc w:val="both"/>
        <w:outlineLvl w:val="9"/>
        <w:rPr>
          <w:rFonts w:ascii="宋体" w:hAnsi="宋体" w:eastAsia="宋体"/>
          <w:color w:val="auto"/>
          <w:szCs w:val="21"/>
        </w:rPr>
      </w:pPr>
      <w:r>
        <w:rPr>
          <w:rFonts w:hint="eastAsia" w:ascii="宋体" w:hAnsi="宋体" w:eastAsia="宋体"/>
          <w:color w:val="auto"/>
          <w:szCs w:val="21"/>
        </w:rPr>
        <w:t>服务期</w:t>
      </w:r>
      <w:r>
        <w:rPr>
          <w:rFonts w:ascii="宋体" w:hAnsi="宋体" w:eastAsia="宋体"/>
          <w:color w:val="auto"/>
          <w:szCs w:val="21"/>
        </w:rPr>
        <w:t>为</w:t>
      </w:r>
      <w:r>
        <w:rPr>
          <w:rFonts w:hint="eastAsia" w:ascii="宋体" w:hAnsi="宋体" w:eastAsia="宋体"/>
          <w:color w:val="auto"/>
          <w:szCs w:val="21"/>
        </w:rPr>
        <w:t>2年（</w:t>
      </w:r>
      <w:r>
        <w:rPr>
          <w:rFonts w:ascii="宋体" w:hAnsi="宋体" w:eastAsia="宋体"/>
          <w:color w:val="auto"/>
          <w:szCs w:val="21"/>
        </w:rPr>
        <w:t>包含</w:t>
      </w:r>
      <w:r>
        <w:rPr>
          <w:rFonts w:hint="eastAsia" w:ascii="宋体" w:hAnsi="宋体" w:eastAsia="宋体"/>
          <w:color w:val="auto"/>
          <w:szCs w:val="21"/>
        </w:rPr>
        <w:t>移动警务终端的一年延保及两年碎屏险；一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p>
    <w:p>
      <w:pPr>
        <w:keepNext w:val="0"/>
        <w:keepLines w:val="0"/>
        <w:pageBreakBefore w:val="0"/>
        <w:kinsoku/>
        <w:wordWrap/>
        <w:overflowPunct/>
        <w:topLinePunct w:val="0"/>
        <w:bidi w:val="0"/>
        <w:snapToGrid w:val="0"/>
        <w:spacing w:line="480" w:lineRule="auto"/>
        <w:jc w:val="both"/>
        <w:outlineLvl w:val="9"/>
        <w:rPr>
          <w:rFonts w:ascii="宋体" w:hAnsi="宋体" w:eastAsia="宋体"/>
          <w:b/>
          <w:color w:val="auto"/>
          <w:szCs w:val="21"/>
        </w:rPr>
      </w:pPr>
      <w:r>
        <w:rPr>
          <w:rFonts w:hint="eastAsia" w:ascii="宋体" w:hAnsi="宋体" w:eastAsia="宋体"/>
          <w:b/>
          <w:color w:val="auto"/>
          <w:szCs w:val="21"/>
        </w:rPr>
        <w:t>中标人在售后服务期内所提供的服务内容和范围包括以下几点：</w:t>
      </w:r>
    </w:p>
    <w:p>
      <w:pPr>
        <w:pStyle w:val="9"/>
        <w:keepNext w:val="0"/>
        <w:keepLines w:val="0"/>
        <w:pageBreakBefore w:val="0"/>
        <w:kinsoku/>
        <w:wordWrap/>
        <w:overflowPunct/>
        <w:topLinePunct w:val="0"/>
        <w:bidi w:val="0"/>
        <w:spacing w:line="480" w:lineRule="auto"/>
        <w:outlineLvl w:val="9"/>
        <w:rPr>
          <w:rFonts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w:t>
      </w:r>
      <w:r>
        <w:rPr>
          <w:rFonts w:ascii="宋体" w:hAnsi="宋体" w:eastAsia="宋体"/>
          <w:color w:val="auto"/>
          <w:kern w:val="2"/>
          <w:sz w:val="21"/>
          <w:szCs w:val="21"/>
          <w:lang w:val="en-US" w:eastAsia="zh-CN" w:bidi="ar-SA"/>
        </w:rPr>
        <w:t>1）保障4G网络的信号良好</w:t>
      </w:r>
      <w:r>
        <w:rPr>
          <w:rFonts w:hint="eastAsia" w:ascii="宋体" w:hAnsi="宋体" w:eastAsia="宋体"/>
          <w:color w:val="auto"/>
          <w:kern w:val="2"/>
          <w:sz w:val="21"/>
          <w:szCs w:val="21"/>
          <w:lang w:val="en-US" w:eastAsia="zh-CN" w:bidi="ar-SA"/>
        </w:rPr>
        <w:t>，针对客户公安行业特殊情况，提供完善的应急解决预案，确保业务正常。</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2）保障终端安全管控系统的正常使用，提供7*24小时报障受理。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3）对终端使用、维护、升级和新技术推荐等方面的咨询服务。</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4）中标人为采购人提供项目验收后按采购需求提供相应售后服务，对终端提供国家规定的“三包”服务。</w:t>
      </w:r>
      <w:r>
        <w:rPr>
          <w:rFonts w:hint="eastAsia" w:ascii="宋体" w:hAnsi="宋体" w:eastAsia="宋体"/>
          <w:color w:val="auto"/>
          <w:szCs w:val="21"/>
        </w:rPr>
        <w:t>“三包”服务包括：</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1.</w:t>
      </w:r>
      <w:r>
        <w:rPr>
          <w:rFonts w:ascii="宋体" w:hAnsi="宋体" w:eastAsia="宋体"/>
          <w:color w:val="auto"/>
          <w:szCs w:val="21"/>
        </w:rPr>
        <w:t>产品自到货验收之日起7日内，发生性能故障，采购人可以选择退货、换货或</w:t>
      </w:r>
      <w:r>
        <w:rPr>
          <w:rFonts w:hint="eastAsia" w:ascii="宋体" w:hAnsi="宋体" w:eastAsia="宋体"/>
          <w:color w:val="auto"/>
          <w:szCs w:val="21"/>
        </w:rPr>
        <w:t>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2.</w:t>
      </w:r>
      <w:r>
        <w:rPr>
          <w:rFonts w:ascii="宋体" w:hAnsi="宋体" w:eastAsia="宋体"/>
          <w:color w:val="auto"/>
          <w:szCs w:val="21"/>
        </w:rPr>
        <w:t>产品自到货验收之日起15日内，发生性能故障，采购人可以选择换货或修理。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3.</w:t>
      </w:r>
      <w:r>
        <w:rPr>
          <w:rFonts w:hint="eastAsia" w:ascii="宋体" w:hAnsi="宋体"/>
          <w:color w:val="auto"/>
          <w:szCs w:val="21"/>
          <w:lang w:eastAsia="zh-CN"/>
        </w:rPr>
        <w:t>报价人</w:t>
      </w:r>
      <w:r>
        <w:rPr>
          <w:rFonts w:ascii="宋体" w:hAnsi="宋体" w:eastAsia="宋体"/>
          <w:color w:val="auto"/>
          <w:szCs w:val="21"/>
        </w:rPr>
        <w:t>承诺服务期内，免费修理两次，仍不能正常使用的产品，采购人可要求</w:t>
      </w:r>
      <w:r>
        <w:rPr>
          <w:rFonts w:hint="eastAsia" w:ascii="宋体" w:hAnsi="宋体" w:eastAsia="宋体"/>
          <w:color w:val="auto"/>
          <w:szCs w:val="21"/>
        </w:rPr>
        <w:t>调换同型号同规格的产品。</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4.</w:t>
      </w:r>
      <w:r>
        <w:rPr>
          <w:rFonts w:ascii="宋体" w:hAnsi="宋体" w:eastAsia="宋体"/>
          <w:color w:val="auto"/>
          <w:szCs w:val="21"/>
        </w:rPr>
        <w:t>提供两年碎屏保险服务</w:t>
      </w:r>
      <w:r>
        <w:rPr>
          <w:rFonts w:hint="eastAsia" w:ascii="宋体" w:hAnsi="宋体" w:eastAsia="宋体"/>
          <w:color w:val="auto"/>
          <w:szCs w:val="21"/>
        </w:rPr>
        <w:t>，如终端屏幕损坏，每台终端两年内可免费更换一次原厂原装屏幕</w:t>
      </w:r>
      <w:r>
        <w:rPr>
          <w:rFonts w:ascii="宋体" w:hAnsi="宋体" w:eastAsia="宋体"/>
          <w:color w:val="auto"/>
          <w:szCs w:val="21"/>
        </w:rPr>
        <w:t>。</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5）中标人应定期（至少每一年一次）向采购人提交4G网络及终端运行情况统计分析报告。</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6）中标人应能根据采购人使用用户数量的管理，及时进行配合工作，包括变更号码等。</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（7）提供一年延保及两年碎屏险；</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（8）提供一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r>
        <w:rPr>
          <w:rFonts w:ascii="宋体" w:hAnsi="宋体" w:eastAsia="宋体"/>
          <w:color w:val="auto"/>
          <w:szCs w:val="21"/>
        </w:rPr>
        <w:t>。</w:t>
      </w:r>
      <w:r>
        <w:rPr>
          <w:rFonts w:hint="eastAsia" w:ascii="宋体" w:hAnsi="宋体" w:eastAsia="宋体"/>
          <w:color w:val="auto"/>
        </w:rPr>
        <w:t>工作内容如下：</w:t>
      </w:r>
    </w:p>
    <w:p>
      <w:pPr>
        <w:pStyle w:val="9"/>
        <w:keepNext w:val="0"/>
        <w:keepLines w:val="0"/>
        <w:pageBreakBefore w:val="0"/>
        <w:kinsoku/>
        <w:wordWrap/>
        <w:overflowPunct/>
        <w:topLinePunct w:val="0"/>
        <w:bidi w:val="0"/>
        <w:spacing w:line="480" w:lineRule="auto"/>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派驻工作人员1名到客户大楼驻点上班，上班时间与客户一致，周一到周五早上8:00至11:30，下午14:30至17:30分。主要工作如下：</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1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①</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对全新兴县公安局的移动终端(包括县局原有的和以后采购的终端)负责以下工作：</w:t>
      </w:r>
    </w:p>
    <w:p>
      <w:pPr>
        <w:keepNext w:val="0"/>
        <w:keepLines w:val="0"/>
        <w:pageBreakBefore w:val="0"/>
        <w:kinsoku/>
        <w:wordWrap/>
        <w:overflowPunct/>
        <w:topLinePunct w:val="0"/>
        <w:bidi w:val="0"/>
        <w:snapToGrid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A、终端的正常软件升级，版本更新。</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B、对需要维修机型进行配送至售后服务点。</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C、终端免费清洗、每年一次贴膜服务。</w:t>
      </w:r>
    </w:p>
    <w:p>
      <w:pPr>
        <w:pStyle w:val="9"/>
        <w:keepNext w:val="0"/>
        <w:keepLines w:val="0"/>
        <w:pageBreakBefore w:val="0"/>
        <w:kinsoku/>
        <w:wordWrap/>
        <w:overflowPunct/>
        <w:topLinePunct w:val="0"/>
        <w:bidi w:val="0"/>
        <w:spacing w:line="480" w:lineRule="auto"/>
        <w:ind w:firstLine="420" w:firstLineChars="20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2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②</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对新兴全县（包括各派出所及交警、派出所等派出机构）的移动警务终端负责以下工作：</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A、收集日常使用问题，意见反馈等，每月进行整理，并制定报告表格给用户方留存。</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B、电话远程技术支持、答疑咨询等。</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C、安全TF卡\贴膜卡用户的新增、更新、调整等，省厅政务微信平台机构及用户的增删调整等，终端软件平台应用用户的增删调整等。</w:t>
      </w:r>
    </w:p>
    <w:p>
      <w:pPr>
        <w:pStyle w:val="9"/>
        <w:keepNext w:val="0"/>
        <w:keepLines w:val="0"/>
        <w:pageBreakBefore w:val="0"/>
        <w:kinsoku/>
        <w:wordWrap/>
        <w:overflowPunct/>
        <w:topLinePunct w:val="0"/>
        <w:bidi w:val="0"/>
        <w:spacing w:line="480" w:lineRule="auto"/>
        <w:ind w:firstLine="472" w:firstLineChars="225"/>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3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③</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用户方交待的其他相关工作。</w:t>
      </w:r>
    </w:p>
    <w:p>
      <w:pPr>
        <w:keepNext w:val="0"/>
        <w:keepLines w:val="0"/>
        <w:pageBreakBefore w:val="0"/>
        <w:numPr>
          <w:ilvl w:val="0"/>
          <w:numId w:val="0"/>
        </w:numPr>
        <w:kinsoku/>
        <w:wordWrap/>
        <w:overflowPunct/>
        <w:topLinePunct w:val="0"/>
        <w:bidi w:val="0"/>
        <w:spacing w:line="480" w:lineRule="auto"/>
        <w:ind w:firstLine="1260" w:firstLineChars="600"/>
        <w:outlineLvl w:val="9"/>
        <w:rPr>
          <w:rFonts w:hint="eastAsia" w:ascii="宋体" w:hAnsi="宋体"/>
          <w:b/>
          <w:color w:val="auto"/>
          <w:sz w:val="28"/>
          <w:szCs w:val="28"/>
          <w:lang w:eastAsia="zh-CN"/>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4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④</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非正常上班时间电话远程技术支持，视故障紧急程度到客户现场解决。</w:t>
      </w:r>
    </w:p>
    <w:p>
      <w:pPr>
        <w:keepNext w:val="0"/>
        <w:keepLines w:val="0"/>
        <w:pageBreakBefore w:val="0"/>
        <w:widowControl/>
        <w:kinsoku/>
        <w:wordWrap/>
        <w:overflowPunct/>
        <w:topLinePunct w:val="0"/>
        <w:autoSpaceDE w:val="0"/>
        <w:autoSpaceDN w:val="0"/>
        <w:bidi w:val="0"/>
        <w:adjustRightInd/>
        <w:snapToGrid w:val="0"/>
        <w:spacing w:line="480" w:lineRule="auto"/>
        <w:jc w:val="both"/>
        <w:textAlignment w:val="auto"/>
        <w:outlineLvl w:val="9"/>
        <w:rPr>
          <w:rFonts w:ascii="宋体" w:hAnsi="宋体" w:cs="宋体"/>
          <w:b/>
          <w:bCs/>
          <w:color w:val="auto"/>
          <w:sz w:val="28"/>
          <w:szCs w:val="28"/>
        </w:rPr>
      </w:pPr>
      <w:r>
        <w:rPr>
          <w:rFonts w:hint="eastAsia" w:ascii="宋体" w:hAnsi="宋体" w:cs="宋体"/>
          <w:b/>
          <w:bCs/>
          <w:color w:val="auto"/>
          <w:sz w:val="28"/>
          <w:szCs w:val="28"/>
        </w:rPr>
        <w:t>四、验收要求</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s="宋体"/>
          <w:color w:val="auto"/>
          <w:szCs w:val="21"/>
        </w:rPr>
      </w:pPr>
      <w:r>
        <w:rPr>
          <w:rFonts w:hint="eastAsia" w:ascii="宋体" w:hAnsi="宋体"/>
          <w:color w:val="auto"/>
        </w:rPr>
        <w:t>1、</w:t>
      </w:r>
      <w:r>
        <w:rPr>
          <w:rFonts w:hint="eastAsia" w:ascii="宋体" w:hAnsi="宋体" w:cs="宋体"/>
          <w:color w:val="auto"/>
          <w:szCs w:val="21"/>
        </w:rPr>
        <w:t>验收应在采购人和中标人双方共同参加下进行。</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s="宋体"/>
          <w:color w:val="auto"/>
          <w:szCs w:val="21"/>
        </w:rPr>
      </w:pPr>
      <w:r>
        <w:rPr>
          <w:rFonts w:hint="eastAsia" w:ascii="宋体" w:hAnsi="宋体" w:cs="宋体"/>
          <w:color w:val="auto"/>
          <w:szCs w:val="21"/>
        </w:rPr>
        <w:t>2、最终成果要求：</w:t>
      </w:r>
      <w:r>
        <w:rPr>
          <w:rFonts w:hint="eastAsia" w:ascii="宋体" w:hAnsi="宋体"/>
          <w:color w:val="auto"/>
          <w:szCs w:val="21"/>
        </w:rPr>
        <w:t>中标人</w:t>
      </w:r>
      <w:r>
        <w:rPr>
          <w:rFonts w:hint="eastAsia" w:ascii="宋体" w:hAnsi="宋体" w:cs="宋体"/>
          <w:color w:val="auto"/>
          <w:szCs w:val="21"/>
        </w:rPr>
        <w:t>提交的项目成果质量必须符合项目要求且通过采购人评审验收。</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olor w:val="auto"/>
          <w:szCs w:val="21"/>
        </w:rPr>
      </w:pPr>
      <w:r>
        <w:rPr>
          <w:rFonts w:hint="eastAsia" w:ascii="宋体" w:hAnsi="宋体"/>
          <w:color w:val="auto"/>
          <w:szCs w:val="21"/>
        </w:rPr>
        <w:t>3、按照国家颁布的现行相关行业规定标准进行验收；如验收不合格的必须返工</w:t>
      </w:r>
      <w:r>
        <w:rPr>
          <w:rFonts w:hint="eastAsia" w:ascii="宋体" w:hAnsi="宋体"/>
          <w:color w:val="auto"/>
          <w:szCs w:val="21"/>
          <w:lang w:eastAsia="zh-CN"/>
        </w:rPr>
        <w:t>或退货</w:t>
      </w:r>
      <w:r>
        <w:rPr>
          <w:rFonts w:hint="eastAsia" w:ascii="宋体" w:hAnsi="宋体"/>
          <w:color w:val="auto"/>
          <w:szCs w:val="21"/>
        </w:rPr>
        <w:t>，返工</w:t>
      </w:r>
      <w:r>
        <w:rPr>
          <w:rFonts w:hint="eastAsia" w:ascii="宋体" w:hAnsi="宋体"/>
          <w:color w:val="auto"/>
          <w:szCs w:val="21"/>
          <w:lang w:eastAsia="zh-CN"/>
        </w:rPr>
        <w:t>或退货</w:t>
      </w:r>
      <w:r>
        <w:rPr>
          <w:rFonts w:hint="eastAsia" w:ascii="宋体" w:hAnsi="宋体"/>
          <w:color w:val="auto"/>
          <w:szCs w:val="21"/>
        </w:rPr>
        <w:t>费</w:t>
      </w:r>
      <w:r>
        <w:rPr>
          <w:rFonts w:hint="eastAsia" w:ascii="宋体" w:hAnsi="宋体"/>
          <w:color w:val="auto"/>
          <w:szCs w:val="21"/>
          <w:lang w:eastAsia="zh-CN"/>
        </w:rPr>
        <w:t>用</w:t>
      </w:r>
      <w:r>
        <w:rPr>
          <w:rFonts w:hint="eastAsia" w:ascii="宋体" w:hAnsi="宋体"/>
          <w:color w:val="auto"/>
          <w:szCs w:val="21"/>
        </w:rPr>
        <w:t>由中标人负责。</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olor w:val="auto"/>
        </w:rPr>
      </w:pPr>
      <w:r>
        <w:rPr>
          <w:rFonts w:hint="eastAsia" w:ascii="宋体" w:hAnsi="宋体" w:cs="宋体"/>
          <w:color w:val="auto"/>
        </w:rPr>
        <w:t>4、当项目性能无法达到</w:t>
      </w:r>
      <w:r>
        <w:rPr>
          <w:rFonts w:hint="eastAsia" w:ascii="宋体" w:hAnsi="宋体" w:cs="宋体"/>
          <w:color w:val="auto"/>
          <w:lang w:val="en-US" w:eastAsia="zh-CN"/>
        </w:rPr>
        <w:t>磋商文件</w:t>
      </w:r>
      <w:r>
        <w:rPr>
          <w:rFonts w:hint="eastAsia" w:ascii="宋体" w:hAnsi="宋体" w:cs="宋体"/>
          <w:color w:val="auto"/>
        </w:rPr>
        <w:t>的要求时，采购人可拒绝验收，由此造成的损失全部由中标人承担。</w:t>
      </w:r>
    </w:p>
    <w:p>
      <w:pPr>
        <w:keepNext w:val="0"/>
        <w:keepLines w:val="0"/>
        <w:pageBreakBefore w:val="0"/>
        <w:widowControl/>
        <w:numPr>
          <w:ilvl w:val="0"/>
          <w:numId w:val="0"/>
        </w:numPr>
        <w:kinsoku/>
        <w:wordWrap/>
        <w:overflowPunct/>
        <w:topLinePunct w:val="0"/>
        <w:bidi w:val="0"/>
        <w:adjustRightInd/>
        <w:spacing w:line="480" w:lineRule="auto"/>
        <w:textAlignment w:val="auto"/>
        <w:outlineLvl w:val="9"/>
        <w:rPr>
          <w:rFonts w:hint="eastAsia" w:ascii="宋体" w:hAnsi="宋体"/>
          <w:b/>
          <w:color w:val="auto"/>
          <w:sz w:val="28"/>
          <w:szCs w:val="28"/>
          <w:lang w:eastAsia="zh-CN"/>
        </w:rPr>
      </w:pPr>
      <w:r>
        <w:rPr>
          <w:rFonts w:hint="eastAsia" w:ascii="宋体" w:hAnsi="宋体"/>
          <w:color w:val="auto"/>
        </w:rPr>
        <w:t>5、所有验收文件、资料要提交给采购人以作留档备案。</w:t>
      </w:r>
    </w:p>
    <w:p>
      <w:pPr>
        <w:keepNext w:val="0"/>
        <w:keepLines w:val="0"/>
        <w:pageBreakBefore w:val="0"/>
        <w:kinsoku/>
        <w:wordWrap/>
        <w:overflowPunct/>
        <w:topLinePunct w:val="0"/>
        <w:bidi w:val="0"/>
        <w:spacing w:line="480" w:lineRule="auto"/>
        <w:outlineLvl w:val="9"/>
        <w:rPr>
          <w:rFonts w:hint="eastAsia" w:ascii="宋体" w:hAnsi="宋体" w:cs="宋体"/>
          <w:color w:val="auto"/>
        </w:rPr>
      </w:pPr>
      <w:r>
        <w:rPr>
          <w:rFonts w:hint="eastAsia" w:ascii="宋体" w:hAnsi="宋体" w:cs="宋体"/>
          <w:b/>
          <w:bCs/>
          <w:color w:val="auto"/>
          <w:sz w:val="28"/>
          <w:szCs w:val="28"/>
        </w:rPr>
        <w:t>五、质保期、交货地点、包装要求及完工期：</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color w:val="auto"/>
        </w:rPr>
      </w:pPr>
      <w:r>
        <w:rPr>
          <w:rFonts w:hint="eastAsia" w:ascii="宋体" w:hAnsi="宋体" w:cs="宋体"/>
          <w:color w:val="auto"/>
        </w:rPr>
        <w:t>1、交货地点（货物安装地点）</w:t>
      </w:r>
      <w:r>
        <w:rPr>
          <w:rFonts w:hint="eastAsia" w:ascii="宋体" w:hAnsi="宋体" w:cs="宋体"/>
          <w:color w:val="auto"/>
          <w:lang w:eastAsia="zh-CN"/>
        </w:rPr>
        <w:t>：</w:t>
      </w:r>
      <w:r>
        <w:rPr>
          <w:rFonts w:hint="eastAsia" w:ascii="宋体" w:hAnsi="宋体" w:cs="宋体"/>
          <w:color w:val="auto"/>
        </w:rPr>
        <w:t>产品交付、检验、安装使用地点在采购人指定地点。</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color w:val="auto"/>
        </w:rPr>
      </w:pPr>
      <w:r>
        <w:rPr>
          <w:rFonts w:hint="eastAsia" w:ascii="宋体" w:hAnsi="宋体" w:cs="宋体"/>
          <w:color w:val="auto"/>
        </w:rPr>
        <w:t>2、包装要求</w:t>
      </w:r>
      <w:r>
        <w:rPr>
          <w:rFonts w:hint="eastAsia" w:ascii="宋体" w:hAnsi="宋体" w:cs="宋体"/>
          <w:color w:val="auto"/>
          <w:lang w:eastAsia="zh-CN"/>
        </w:rPr>
        <w:t>：</w:t>
      </w:r>
      <w:r>
        <w:rPr>
          <w:rFonts w:hint="eastAsia" w:ascii="宋体" w:hAnsi="宋体" w:cs="宋体"/>
          <w:color w:val="auto"/>
        </w:rPr>
        <w:t>要求使用国际通用的标准包装，适合于长途运输，外包装到货时完好无损。</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bCs/>
          <w:color w:val="auto"/>
          <w:szCs w:val="21"/>
        </w:rPr>
      </w:pPr>
      <w:r>
        <w:rPr>
          <w:rFonts w:hint="eastAsia" w:ascii="宋体" w:hAnsi="宋体" w:cs="宋体"/>
          <w:color w:val="auto"/>
        </w:rPr>
        <w:t>3、完工期</w:t>
      </w:r>
      <w:r>
        <w:rPr>
          <w:rFonts w:hint="eastAsia" w:ascii="宋体" w:hAnsi="宋体" w:cs="宋体"/>
          <w:color w:val="auto"/>
          <w:lang w:eastAsia="zh-CN"/>
        </w:rPr>
        <w:t>：</w:t>
      </w:r>
      <w:r>
        <w:rPr>
          <w:rFonts w:hint="eastAsia" w:ascii="宋体" w:hAnsi="宋体"/>
          <w:color w:val="auto"/>
        </w:rPr>
        <w:t>自合同生效之日起</w:t>
      </w:r>
      <w:r>
        <w:rPr>
          <w:rFonts w:hint="eastAsia" w:ascii="宋体" w:hAnsi="宋体"/>
          <w:color w:val="auto"/>
          <w:lang w:val="en-US" w:eastAsia="zh-CN"/>
        </w:rPr>
        <w:t>供货期为30天, 服务期为24个月</w:t>
      </w:r>
      <w:r>
        <w:rPr>
          <w:rFonts w:hint="eastAsia" w:ascii="宋体" w:hAnsi="宋体" w:cs="宋体"/>
          <w:bCs/>
          <w:color w:val="auto"/>
          <w:szCs w:val="21"/>
        </w:rPr>
        <w:t>；</w:t>
      </w:r>
    </w:p>
    <w:p>
      <w:pPr>
        <w:keepNext w:val="0"/>
        <w:keepLines w:val="0"/>
        <w:pageBreakBefore w:val="0"/>
        <w:kinsoku/>
        <w:wordWrap/>
        <w:overflowPunct/>
        <w:topLinePunct w:val="0"/>
        <w:bidi w:val="0"/>
        <w:spacing w:line="480" w:lineRule="auto"/>
        <w:ind w:firstLine="420"/>
        <w:outlineLvl w:val="9"/>
        <w:rPr>
          <w:rFonts w:hint="eastAsia" w:ascii="宋体" w:hAnsi="宋体" w:cs="宋体"/>
          <w:bCs/>
          <w:color w:val="auto"/>
          <w:szCs w:val="21"/>
        </w:rPr>
      </w:pPr>
      <w:r>
        <w:rPr>
          <w:rFonts w:hint="eastAsia" w:ascii="宋体" w:hAnsi="宋体" w:cs="宋体"/>
          <w:bCs/>
          <w:color w:val="auto"/>
          <w:szCs w:val="21"/>
        </w:rPr>
        <w:t>4、质保期</w:t>
      </w:r>
      <w:r>
        <w:rPr>
          <w:rFonts w:hint="eastAsia" w:ascii="宋体" w:hAnsi="宋体" w:cs="宋体"/>
          <w:bCs/>
          <w:color w:val="auto"/>
          <w:szCs w:val="21"/>
          <w:lang w:eastAsia="zh-CN"/>
        </w:rPr>
        <w:t>：</w:t>
      </w:r>
      <w:r>
        <w:rPr>
          <w:rFonts w:hint="eastAsia" w:ascii="宋体" w:hAnsi="宋体" w:cs="宋体"/>
          <w:bCs/>
          <w:color w:val="auto"/>
          <w:szCs w:val="21"/>
        </w:rPr>
        <w:t>质保期</w:t>
      </w:r>
      <w:r>
        <w:rPr>
          <w:rFonts w:hint="eastAsia" w:ascii="宋体" w:hAnsi="宋体" w:cs="宋体"/>
          <w:bCs/>
          <w:color w:val="auto"/>
          <w:szCs w:val="21"/>
          <w:u w:val="single"/>
          <w:lang w:val="en-US" w:eastAsia="zh-CN"/>
        </w:rPr>
        <w:t>2</w:t>
      </w:r>
      <w:r>
        <w:rPr>
          <w:rFonts w:hint="eastAsia" w:ascii="宋体" w:hAnsi="宋体" w:cs="宋体"/>
          <w:bCs/>
          <w:color w:val="auto"/>
          <w:szCs w:val="21"/>
        </w:rPr>
        <w:t>年或以上</w:t>
      </w:r>
      <w:r>
        <w:rPr>
          <w:rFonts w:hint="eastAsia" w:ascii="宋体" w:hAnsi="宋体" w:cs="宋体"/>
          <w:bCs/>
          <w:color w:val="auto"/>
          <w:szCs w:val="21"/>
          <w:lang w:eastAsia="zh-CN"/>
        </w:rPr>
        <w:t>，</w:t>
      </w:r>
      <w:r>
        <w:rPr>
          <w:rFonts w:hint="eastAsia" w:ascii="宋体" w:hAnsi="宋体" w:cs="宋体"/>
          <w:bCs/>
          <w:color w:val="auto"/>
          <w:szCs w:val="21"/>
          <w:lang w:val="en-US" w:eastAsia="zh-CN"/>
        </w:rPr>
        <w:t>保修期</w:t>
      </w:r>
      <w:r>
        <w:rPr>
          <w:rFonts w:hint="eastAsia" w:ascii="宋体" w:hAnsi="宋体"/>
          <w:color w:val="auto"/>
          <w:u w:val="single"/>
          <w:lang w:val="en-US" w:eastAsia="zh-CN"/>
        </w:rPr>
        <w:t>1</w:t>
      </w:r>
      <w:r>
        <w:rPr>
          <w:rFonts w:hint="eastAsia" w:ascii="宋体" w:hAnsi="宋体"/>
          <w:color w:val="auto"/>
        </w:rPr>
        <w:t>年</w:t>
      </w:r>
      <w:r>
        <w:rPr>
          <w:rFonts w:hint="eastAsia" w:ascii="宋体" w:hAnsi="宋体" w:cs="宋体"/>
          <w:bCs/>
          <w:color w:val="auto"/>
          <w:szCs w:val="21"/>
        </w:rPr>
        <w:t>。</w:t>
      </w: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rPr>
      </w:pPr>
      <w:r>
        <w:rPr>
          <w:rFonts w:hint="eastAsia" w:ascii="宋体" w:hAnsi="宋体"/>
          <w:b/>
          <w:color w:val="auto"/>
          <w:sz w:val="28"/>
          <w:szCs w:val="28"/>
          <w:lang w:val="en-US" w:eastAsia="zh-CN"/>
        </w:rPr>
        <w:t>六</w:t>
      </w:r>
      <w:r>
        <w:rPr>
          <w:rFonts w:hint="eastAsia" w:ascii="宋体" w:hAnsi="宋体"/>
          <w:b/>
          <w:color w:val="auto"/>
          <w:sz w:val="28"/>
          <w:szCs w:val="28"/>
        </w:rPr>
        <w:t>、付款方式</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1、</w:t>
      </w:r>
      <w:r>
        <w:rPr>
          <w:rFonts w:hint="eastAsia" w:ascii="宋体" w:hAnsi="宋体"/>
          <w:color w:val="auto"/>
        </w:rPr>
        <w:t>中标</w:t>
      </w:r>
      <w:r>
        <w:rPr>
          <w:rFonts w:hint="eastAsia" w:ascii="宋体" w:hAnsi="宋体"/>
          <w:color w:val="auto"/>
          <w:lang w:val="en-US" w:eastAsia="zh-CN"/>
        </w:rPr>
        <w:t>人</w:t>
      </w:r>
      <w:r>
        <w:rPr>
          <w:rFonts w:hint="eastAsia" w:ascii="宋体" w:hAnsi="宋体"/>
          <w:color w:val="auto"/>
        </w:rPr>
        <w:t>必须向</w:t>
      </w:r>
      <w:r>
        <w:rPr>
          <w:rFonts w:hint="eastAsia" w:ascii="宋体" w:hAnsi="宋体"/>
          <w:color w:val="auto"/>
          <w:lang w:val="en-US" w:eastAsia="zh-CN"/>
        </w:rPr>
        <w:t>采购人</w:t>
      </w:r>
      <w:r>
        <w:rPr>
          <w:rFonts w:hint="eastAsia" w:ascii="宋体" w:hAnsi="宋体"/>
          <w:color w:val="auto"/>
        </w:rPr>
        <w:t>提供正式发票。</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color w:val="auto"/>
          <w:lang w:val="en-US" w:eastAsia="zh-CN"/>
        </w:rPr>
        <w:t>2、</w:t>
      </w:r>
      <w:r>
        <w:rPr>
          <w:rFonts w:hint="eastAsia"/>
          <w:color w:val="auto"/>
        </w:rPr>
        <w:t>合同生效后，</w:t>
      </w:r>
      <w:r>
        <w:rPr>
          <w:rFonts w:hint="eastAsia"/>
          <w:color w:val="auto"/>
          <w:lang w:val="en-US" w:eastAsia="zh-CN"/>
        </w:rPr>
        <w:t>中标人</w:t>
      </w:r>
      <w:r>
        <w:rPr>
          <w:rFonts w:hint="eastAsia"/>
          <w:color w:val="auto"/>
        </w:rPr>
        <w:t>将</w:t>
      </w:r>
      <w:r>
        <w:rPr>
          <w:rFonts w:hint="eastAsia"/>
          <w:color w:val="auto"/>
          <w:lang w:val="en-US" w:eastAsia="zh-CN"/>
        </w:rPr>
        <w:t>中标金额的</w:t>
      </w:r>
      <w:r>
        <w:rPr>
          <w:rFonts w:hint="eastAsia"/>
          <w:color w:val="auto"/>
          <w:u w:val="single"/>
        </w:rPr>
        <w:t xml:space="preserve">5 </w:t>
      </w:r>
      <w:r>
        <w:rPr>
          <w:rFonts w:hint="eastAsia"/>
          <w:color w:val="auto"/>
        </w:rPr>
        <w:t>%汇至</w:t>
      </w:r>
      <w:r>
        <w:rPr>
          <w:rFonts w:hint="eastAsia"/>
          <w:color w:val="auto"/>
          <w:lang w:val="en-US" w:eastAsia="zh-CN"/>
        </w:rPr>
        <w:t>采购人</w:t>
      </w:r>
      <w:r>
        <w:rPr>
          <w:rFonts w:hint="eastAsia"/>
          <w:color w:val="auto"/>
        </w:rPr>
        <w:t>指定账户作为合同履约保证金，</w:t>
      </w:r>
      <w:r>
        <w:rPr>
          <w:rFonts w:hint="eastAsia"/>
          <w:color w:val="auto"/>
          <w:lang w:eastAsia="zh-CN"/>
        </w:rPr>
        <w:t>验收合格后将合同履约保证金转为质保金，</w:t>
      </w:r>
      <w:r>
        <w:rPr>
          <w:rFonts w:hint="eastAsia"/>
          <w:bCs/>
          <w:color w:val="auto"/>
        </w:rPr>
        <w:t>质保期</w:t>
      </w:r>
      <w:r>
        <w:rPr>
          <w:rFonts w:hint="eastAsia"/>
          <w:color w:val="auto"/>
        </w:rPr>
        <w:t>满</w:t>
      </w:r>
      <w:r>
        <w:rPr>
          <w:rFonts w:hint="eastAsia"/>
          <w:color w:val="auto"/>
          <w:u w:val="single"/>
        </w:rPr>
        <w:t>15</w:t>
      </w:r>
      <w:r>
        <w:rPr>
          <w:rFonts w:hint="eastAsia"/>
          <w:color w:val="auto"/>
        </w:rPr>
        <w:t>个工作日内无息归还</w:t>
      </w:r>
      <w:r>
        <w:rPr>
          <w:rFonts w:hint="eastAsia"/>
          <w:color w:val="auto"/>
          <w:lang w:val="en-US" w:eastAsia="zh-CN"/>
        </w:rPr>
        <w:t>中标人</w:t>
      </w:r>
      <w:r>
        <w:rPr>
          <w:rFonts w:hint="eastAsia"/>
          <w:color w:val="auto"/>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szCs w:val="21"/>
          <w:lang w:eastAsia="zh-CN"/>
        </w:rPr>
      </w:pPr>
      <w:r>
        <w:rPr>
          <w:rFonts w:hint="eastAsia" w:ascii="宋体" w:hAnsi="宋体"/>
          <w:color w:val="auto"/>
          <w:lang w:val="en-US" w:eastAsia="zh-CN"/>
        </w:rPr>
        <w:t>3</w:t>
      </w:r>
      <w:r>
        <w:rPr>
          <w:rFonts w:hint="eastAsia" w:ascii="宋体" w:hAnsi="宋体"/>
          <w:color w:val="auto"/>
          <w:lang w:eastAsia="zh-CN"/>
        </w:rPr>
        <w:t>、</w:t>
      </w:r>
      <w:r>
        <w:rPr>
          <w:rFonts w:hint="eastAsia" w:ascii="宋体" w:hAnsi="宋体"/>
          <w:color w:val="auto"/>
          <w:szCs w:val="21"/>
        </w:rPr>
        <w:t>在合同签订后</w:t>
      </w:r>
      <w:r>
        <w:rPr>
          <w:rFonts w:hint="eastAsia" w:ascii="宋体" w:hAnsi="宋体"/>
          <w:color w:val="auto"/>
          <w:szCs w:val="21"/>
          <w:lang w:val="en-US" w:eastAsia="zh-CN"/>
        </w:rPr>
        <w:t>10</w:t>
      </w:r>
      <w:r>
        <w:rPr>
          <w:rFonts w:hint="eastAsia" w:ascii="宋体" w:hAnsi="宋体"/>
          <w:color w:val="auto"/>
          <w:szCs w:val="21"/>
        </w:rPr>
        <w:t>个工作日内支付</w:t>
      </w:r>
      <w:r>
        <w:rPr>
          <w:rFonts w:hint="eastAsia" w:ascii="宋体" w:hAnsi="宋体"/>
          <w:color w:val="auto"/>
          <w:szCs w:val="21"/>
          <w:lang w:val="en-US" w:eastAsia="zh-CN"/>
        </w:rPr>
        <w:t>中标金额</w:t>
      </w:r>
      <w:r>
        <w:rPr>
          <w:rFonts w:hint="eastAsia" w:ascii="宋体" w:hAnsi="宋体"/>
          <w:color w:val="auto"/>
          <w:szCs w:val="21"/>
        </w:rPr>
        <w:t>的</w:t>
      </w:r>
      <w:r>
        <w:rPr>
          <w:rFonts w:hint="eastAsia" w:ascii="宋体" w:hAnsi="宋体"/>
          <w:color w:val="auto"/>
          <w:szCs w:val="21"/>
          <w:lang w:val="en-US" w:eastAsia="zh-CN"/>
        </w:rPr>
        <w:t>20</w:t>
      </w:r>
      <w:r>
        <w:rPr>
          <w:rFonts w:hint="eastAsia" w:ascii="宋体" w:hAnsi="宋体"/>
          <w:color w:val="auto"/>
          <w:szCs w:val="21"/>
        </w:rPr>
        <w:t>%</w:t>
      </w:r>
      <w:r>
        <w:rPr>
          <w:rFonts w:hint="eastAsia" w:ascii="宋体" w:hAnsi="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lang w:eastAsia="zh-CN"/>
        </w:rPr>
      </w:pPr>
      <w:r>
        <w:rPr>
          <w:rFonts w:hint="eastAsia" w:ascii="宋体" w:hAnsi="宋体"/>
          <w:color w:val="auto"/>
          <w:szCs w:val="21"/>
          <w:lang w:val="en-US" w:eastAsia="zh-CN"/>
        </w:rPr>
        <w:t>4、</w:t>
      </w:r>
      <w:r>
        <w:rPr>
          <w:rFonts w:hint="eastAsia" w:ascii="宋体" w:hAnsi="宋体"/>
          <w:color w:val="auto"/>
        </w:rPr>
        <w:t>按招投标文件要求进行</w:t>
      </w:r>
      <w:r>
        <w:rPr>
          <w:rFonts w:hint="eastAsia" w:ascii="宋体" w:hAnsi="宋体" w:eastAsia="宋体"/>
          <w:color w:val="auto"/>
          <w:szCs w:val="21"/>
        </w:rPr>
        <w:t>手机</w:t>
      </w:r>
      <w:r>
        <w:rPr>
          <w:rFonts w:ascii="宋体" w:hAnsi="宋体" w:eastAsia="宋体"/>
          <w:color w:val="auto"/>
          <w:szCs w:val="21"/>
        </w:rPr>
        <w:t>终端、安全智能</w:t>
      </w:r>
      <w:r>
        <w:rPr>
          <w:rFonts w:hint="eastAsia" w:ascii="宋体" w:hAnsi="宋体" w:eastAsia="宋体"/>
          <w:color w:val="auto"/>
          <w:szCs w:val="21"/>
        </w:rPr>
        <w:t>薄膜</w:t>
      </w:r>
      <w:r>
        <w:rPr>
          <w:rFonts w:ascii="宋体" w:hAnsi="宋体" w:eastAsia="宋体"/>
          <w:color w:val="auto"/>
          <w:szCs w:val="21"/>
        </w:rPr>
        <w:t>卡到货，经采购人初验合格后10个工作日内，采购人向中标人支付</w:t>
      </w:r>
      <w:r>
        <w:rPr>
          <w:rFonts w:hint="eastAsia" w:ascii="宋体" w:hAnsi="宋体" w:eastAsia="宋体"/>
          <w:color w:val="auto"/>
          <w:szCs w:val="21"/>
          <w:lang w:val="en-US" w:eastAsia="zh-CN"/>
        </w:rPr>
        <w:t>中标金额的</w:t>
      </w:r>
      <w:r>
        <w:rPr>
          <w:rFonts w:ascii="宋体" w:hAnsi="宋体" w:eastAsia="宋体"/>
          <w:color w:val="auto"/>
          <w:szCs w:val="21"/>
        </w:rPr>
        <w:t>60%</w:t>
      </w:r>
      <w:r>
        <w:rPr>
          <w:rFonts w:hint="eastAsia" w:ascii="宋体" w:hAnsi="宋体" w:eastAsia="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5、</w:t>
      </w:r>
      <w:r>
        <w:rPr>
          <w:rFonts w:ascii="宋体" w:hAnsi="宋体" w:eastAsia="宋体"/>
          <w:color w:val="auto"/>
          <w:szCs w:val="21"/>
        </w:rPr>
        <w:t>采购人</w:t>
      </w:r>
      <w:r>
        <w:rPr>
          <w:rFonts w:hint="eastAsia" w:ascii="宋体" w:hAnsi="宋体" w:eastAsia="宋体"/>
          <w:color w:val="auto"/>
          <w:szCs w:val="21"/>
          <w:lang w:val="en-US" w:eastAsia="zh-CN"/>
        </w:rPr>
        <w:t>最</w:t>
      </w:r>
      <w:r>
        <w:rPr>
          <w:rFonts w:ascii="宋体" w:hAnsi="宋体" w:eastAsia="宋体"/>
          <w:color w:val="auto"/>
          <w:szCs w:val="21"/>
        </w:rPr>
        <w:t>终验</w:t>
      </w:r>
      <w:r>
        <w:rPr>
          <w:rFonts w:hint="eastAsia" w:ascii="宋体" w:hAnsi="宋体" w:eastAsia="宋体"/>
          <w:color w:val="auto"/>
          <w:szCs w:val="21"/>
          <w:lang w:val="en-US" w:eastAsia="zh-CN"/>
        </w:rPr>
        <w:t>收</w:t>
      </w:r>
      <w:r>
        <w:rPr>
          <w:rFonts w:ascii="宋体" w:hAnsi="宋体" w:eastAsia="宋体"/>
          <w:color w:val="auto"/>
          <w:szCs w:val="21"/>
        </w:rPr>
        <w:t>合格后10个工作日内向中标人支付</w:t>
      </w:r>
      <w:r>
        <w:rPr>
          <w:rFonts w:hint="eastAsia" w:ascii="宋体" w:hAnsi="宋体" w:eastAsia="宋体"/>
          <w:color w:val="auto"/>
          <w:szCs w:val="21"/>
          <w:lang w:val="en-US" w:eastAsia="zh-CN"/>
        </w:rPr>
        <w:t>中标金额的20%</w:t>
      </w:r>
      <w:r>
        <w:rPr>
          <w:rFonts w:hint="eastAsia" w:ascii="宋体" w:hAnsi="宋体"/>
          <w:color w:val="auto"/>
        </w:rPr>
        <w:t>。</w:t>
      </w:r>
    </w:p>
    <w:p>
      <w:pPr>
        <w:keepNext w:val="0"/>
        <w:keepLines w:val="0"/>
        <w:pageBreakBefore w:val="0"/>
        <w:kinsoku/>
        <w:wordWrap/>
        <w:overflowPunct/>
        <w:topLinePunct w:val="0"/>
        <w:bidi w:val="0"/>
        <w:spacing w:line="480" w:lineRule="auto"/>
        <w:jc w:val="both"/>
        <w:outlineLvl w:val="9"/>
        <w:rPr>
          <w:rFonts w:hint="eastAsia" w:ascii="宋体" w:hAnsi="宋体" w:eastAsia="宋体" w:cs="宋体"/>
          <w:b/>
          <w:color w:val="auto"/>
          <w:sz w:val="44"/>
        </w:rPr>
      </w:pPr>
      <w:r>
        <w:rPr>
          <w:rFonts w:hint="eastAsia" w:ascii="宋体" w:hAnsi="宋体"/>
          <w:color w:val="auto"/>
          <w:lang w:val="en-US" w:eastAsia="zh-CN"/>
        </w:rPr>
        <w:t>6、</w:t>
      </w:r>
      <w:r>
        <w:rPr>
          <w:rFonts w:hint="eastAsia" w:ascii="宋体" w:hAnsi="宋体"/>
          <w:color w:val="auto"/>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lang w:eastAsia="zh-CN"/>
        </w:rPr>
      </w:pPr>
      <w:r>
        <w:rPr>
          <w:rFonts w:hint="eastAsia" w:ascii="宋体" w:hAnsi="宋体"/>
          <w:b/>
          <w:color w:val="auto"/>
          <w:sz w:val="28"/>
          <w:szCs w:val="28"/>
          <w:lang w:val="en-US" w:eastAsia="zh-CN"/>
        </w:rPr>
        <w:t>七</w:t>
      </w:r>
      <w:r>
        <w:rPr>
          <w:rFonts w:hint="eastAsia" w:ascii="宋体" w:hAnsi="宋体"/>
          <w:b/>
          <w:color w:val="auto"/>
          <w:sz w:val="28"/>
          <w:szCs w:val="28"/>
          <w:lang w:eastAsia="zh-CN"/>
        </w:rPr>
        <w:t>、评审因素</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标书的制作情况</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主要技术要求</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4G基站数量</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移动电话用户数</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专业资质认证</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lang w:val="en-US" w:eastAsia="zh-CN"/>
        </w:rPr>
      </w:pPr>
      <w:r>
        <w:rPr>
          <w:rFonts w:hint="eastAsia" w:ascii="宋体" w:hAnsi="宋体"/>
          <w:color w:val="auto"/>
          <w:sz w:val="18"/>
          <w:szCs w:val="18"/>
        </w:rPr>
        <w:t>投标人信用</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获奖情况</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同类业绩</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售后服务</w:t>
      </w:r>
    </w:p>
    <w:p>
      <w:pPr>
        <w:pStyle w:val="63"/>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新兴县公安局新一代移动警务系统终端采购及配套服务采购项目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keepNext w:val="0"/>
        <w:keepLines w:val="0"/>
        <w:pageBreakBefore w:val="0"/>
        <w:kinsoku/>
        <w:wordWrap/>
        <w:overflowPunct/>
        <w:topLinePunct w:val="0"/>
        <w:bidi w:val="0"/>
        <w:snapToGrid w:val="0"/>
        <w:spacing w:line="480" w:lineRule="auto"/>
        <w:jc w:val="both"/>
        <w:outlineLvl w:val="9"/>
        <w:rPr>
          <w:rFonts w:ascii="宋体" w:hAnsi="宋体" w:eastAsia="宋体"/>
          <w:color w:val="auto"/>
          <w:szCs w:val="21"/>
        </w:rPr>
      </w:pPr>
      <w:r>
        <w:rPr>
          <w:rFonts w:hint="eastAsia" w:ascii="宋体" w:hAnsi="宋体" w:eastAsia="宋体"/>
          <w:color w:val="auto"/>
          <w:szCs w:val="21"/>
        </w:rPr>
        <w:t>服务期</w:t>
      </w:r>
      <w:r>
        <w:rPr>
          <w:rFonts w:ascii="宋体" w:hAnsi="宋体" w:eastAsia="宋体"/>
          <w:color w:val="auto"/>
          <w:szCs w:val="21"/>
        </w:rPr>
        <w:t>为</w:t>
      </w:r>
      <w:r>
        <w:rPr>
          <w:rFonts w:hint="eastAsia" w:ascii="宋体" w:hAnsi="宋体" w:eastAsia="宋体"/>
          <w:color w:val="auto"/>
          <w:szCs w:val="21"/>
        </w:rPr>
        <w:t>2年（</w:t>
      </w:r>
      <w:r>
        <w:rPr>
          <w:rFonts w:ascii="宋体" w:hAnsi="宋体" w:eastAsia="宋体"/>
          <w:color w:val="auto"/>
          <w:szCs w:val="21"/>
        </w:rPr>
        <w:t>包含</w:t>
      </w:r>
      <w:r>
        <w:rPr>
          <w:rFonts w:hint="eastAsia" w:ascii="宋体" w:hAnsi="宋体" w:eastAsia="宋体"/>
          <w:color w:val="auto"/>
          <w:szCs w:val="21"/>
        </w:rPr>
        <w:t>移动警务终端的一年延保及两年碎屏险；一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p>
    <w:p>
      <w:pPr>
        <w:keepNext w:val="0"/>
        <w:keepLines w:val="0"/>
        <w:pageBreakBefore w:val="0"/>
        <w:kinsoku/>
        <w:wordWrap/>
        <w:overflowPunct/>
        <w:topLinePunct w:val="0"/>
        <w:bidi w:val="0"/>
        <w:snapToGrid w:val="0"/>
        <w:spacing w:line="480" w:lineRule="auto"/>
        <w:jc w:val="both"/>
        <w:outlineLvl w:val="9"/>
        <w:rPr>
          <w:rFonts w:ascii="宋体" w:hAnsi="宋体" w:eastAsia="宋体"/>
          <w:b/>
          <w:color w:val="auto"/>
          <w:szCs w:val="21"/>
        </w:rPr>
      </w:pPr>
      <w:r>
        <w:rPr>
          <w:rFonts w:hint="eastAsia" w:ascii="宋体" w:hAnsi="宋体" w:eastAsia="宋体"/>
          <w:b/>
          <w:color w:val="auto"/>
          <w:szCs w:val="21"/>
        </w:rPr>
        <w:t>中标人在售后服务期内所提供的服务内容和范围包括以下几点：</w:t>
      </w:r>
    </w:p>
    <w:p>
      <w:pPr>
        <w:pStyle w:val="9"/>
        <w:keepNext w:val="0"/>
        <w:keepLines w:val="0"/>
        <w:pageBreakBefore w:val="0"/>
        <w:kinsoku/>
        <w:wordWrap/>
        <w:overflowPunct/>
        <w:topLinePunct w:val="0"/>
        <w:bidi w:val="0"/>
        <w:spacing w:line="480" w:lineRule="auto"/>
        <w:outlineLvl w:val="9"/>
        <w:rPr>
          <w:rFonts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w:t>
      </w:r>
      <w:r>
        <w:rPr>
          <w:rFonts w:ascii="宋体" w:hAnsi="宋体" w:eastAsia="宋体"/>
          <w:color w:val="auto"/>
          <w:kern w:val="2"/>
          <w:sz w:val="21"/>
          <w:szCs w:val="21"/>
          <w:lang w:val="en-US" w:eastAsia="zh-CN" w:bidi="ar-SA"/>
        </w:rPr>
        <w:t>1）保障4G网络的信号良好</w:t>
      </w:r>
      <w:r>
        <w:rPr>
          <w:rFonts w:hint="eastAsia" w:ascii="宋体" w:hAnsi="宋体" w:eastAsia="宋体"/>
          <w:color w:val="auto"/>
          <w:kern w:val="2"/>
          <w:sz w:val="21"/>
          <w:szCs w:val="21"/>
          <w:lang w:val="en-US" w:eastAsia="zh-CN" w:bidi="ar-SA"/>
        </w:rPr>
        <w:t>，针对客户公安行业特殊情况，提供完善的应急解决预案，确保业务正常。</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2）保障终端安全管控系统的正常使用，提供7*24小时报障受理。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3）对终端使用、维护、升级和新技术推荐等方面的咨询服务。</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4）中标人为采购人提供项目验收后按采购需求提供相应售后服务，对终端提供国家规定的“三包”服务。</w:t>
      </w:r>
      <w:r>
        <w:rPr>
          <w:rFonts w:hint="eastAsia" w:ascii="宋体" w:hAnsi="宋体" w:eastAsia="宋体"/>
          <w:color w:val="auto"/>
          <w:szCs w:val="21"/>
        </w:rPr>
        <w:t>“三包”服务包括：</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1.</w:t>
      </w:r>
      <w:r>
        <w:rPr>
          <w:rFonts w:ascii="宋体" w:hAnsi="宋体" w:eastAsia="宋体"/>
          <w:color w:val="auto"/>
          <w:szCs w:val="21"/>
        </w:rPr>
        <w:t>产品自到货验收之日起7日内，发生性能故障，采购人可以选择退货、换货或</w:t>
      </w:r>
      <w:r>
        <w:rPr>
          <w:rFonts w:hint="eastAsia" w:ascii="宋体" w:hAnsi="宋体" w:eastAsia="宋体"/>
          <w:color w:val="auto"/>
          <w:szCs w:val="21"/>
        </w:rPr>
        <w:t>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2.</w:t>
      </w:r>
      <w:r>
        <w:rPr>
          <w:rFonts w:ascii="宋体" w:hAnsi="宋体" w:eastAsia="宋体"/>
          <w:color w:val="auto"/>
          <w:szCs w:val="21"/>
        </w:rPr>
        <w:t>产品自到货验收之日起15日内，发生性能故障，采购人可以选择换货或修理。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3.</w:t>
      </w:r>
      <w:r>
        <w:rPr>
          <w:rFonts w:hint="eastAsia" w:ascii="宋体" w:hAnsi="宋体"/>
          <w:color w:val="auto"/>
          <w:szCs w:val="21"/>
          <w:lang w:eastAsia="zh-CN"/>
        </w:rPr>
        <w:t>报价人</w:t>
      </w:r>
      <w:r>
        <w:rPr>
          <w:rFonts w:ascii="宋体" w:hAnsi="宋体" w:eastAsia="宋体"/>
          <w:color w:val="auto"/>
          <w:szCs w:val="21"/>
        </w:rPr>
        <w:t>承诺服务期内，免费修理两次，仍不能正常使用的产品，采购人可要求</w:t>
      </w:r>
      <w:r>
        <w:rPr>
          <w:rFonts w:hint="eastAsia" w:ascii="宋体" w:hAnsi="宋体" w:eastAsia="宋体"/>
          <w:color w:val="auto"/>
          <w:szCs w:val="21"/>
        </w:rPr>
        <w:t>调换同型号同规格的产品。</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4.</w:t>
      </w:r>
      <w:r>
        <w:rPr>
          <w:rFonts w:ascii="宋体" w:hAnsi="宋体" w:eastAsia="宋体"/>
          <w:color w:val="auto"/>
          <w:szCs w:val="21"/>
        </w:rPr>
        <w:t>提供两年碎屏保险服务</w:t>
      </w:r>
      <w:r>
        <w:rPr>
          <w:rFonts w:hint="eastAsia" w:ascii="宋体" w:hAnsi="宋体" w:eastAsia="宋体"/>
          <w:color w:val="auto"/>
          <w:szCs w:val="21"/>
        </w:rPr>
        <w:t>，如终端屏幕损坏，每台终端两年内可免费更换一次原厂原装屏幕</w:t>
      </w:r>
      <w:r>
        <w:rPr>
          <w:rFonts w:ascii="宋体" w:hAnsi="宋体" w:eastAsia="宋体"/>
          <w:color w:val="auto"/>
          <w:szCs w:val="21"/>
        </w:rPr>
        <w:t>。</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5）中标人应定期（至少每一年一次）向采购人提交4G网络及终端运行情况统计分析报告。</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6）中标人应能根据采购人使用用户数量的管理，及时进行配合工作，包括变更号码等。</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（7）提供一年延保及两年碎屏险；</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（8）提供一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r>
        <w:rPr>
          <w:rFonts w:ascii="宋体" w:hAnsi="宋体" w:eastAsia="宋体"/>
          <w:color w:val="auto"/>
          <w:szCs w:val="21"/>
        </w:rPr>
        <w:t>。</w:t>
      </w:r>
      <w:r>
        <w:rPr>
          <w:rFonts w:hint="eastAsia" w:ascii="宋体" w:hAnsi="宋体" w:eastAsia="宋体"/>
          <w:color w:val="auto"/>
        </w:rPr>
        <w:t>工作内容如下：</w:t>
      </w:r>
    </w:p>
    <w:p>
      <w:pPr>
        <w:pStyle w:val="9"/>
        <w:keepNext w:val="0"/>
        <w:keepLines w:val="0"/>
        <w:pageBreakBefore w:val="0"/>
        <w:kinsoku/>
        <w:wordWrap/>
        <w:overflowPunct/>
        <w:topLinePunct w:val="0"/>
        <w:bidi w:val="0"/>
        <w:spacing w:line="480" w:lineRule="auto"/>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派驻工作人员1名到客户大楼驻点上班，上班时间与客户一致，周一到周五早上8:00至11:30，下午14:30至17:30分。主要工作如下：</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1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①</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对全新兴县公安局的移动终端(包括县局原有的和以后采购的终端)负责以下工作：</w:t>
      </w:r>
    </w:p>
    <w:p>
      <w:pPr>
        <w:keepNext w:val="0"/>
        <w:keepLines w:val="0"/>
        <w:pageBreakBefore w:val="0"/>
        <w:kinsoku/>
        <w:wordWrap/>
        <w:overflowPunct/>
        <w:topLinePunct w:val="0"/>
        <w:bidi w:val="0"/>
        <w:snapToGrid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A、终端的正常软件升级，版本更新。</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B、对需要维修机型进行配送至售后服务点。</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C、终端免费清洗、每年一次贴膜服务。</w:t>
      </w:r>
    </w:p>
    <w:p>
      <w:pPr>
        <w:pStyle w:val="9"/>
        <w:keepNext w:val="0"/>
        <w:keepLines w:val="0"/>
        <w:pageBreakBefore w:val="0"/>
        <w:kinsoku/>
        <w:wordWrap/>
        <w:overflowPunct/>
        <w:topLinePunct w:val="0"/>
        <w:bidi w:val="0"/>
        <w:spacing w:line="480" w:lineRule="auto"/>
        <w:ind w:firstLine="420" w:firstLineChars="20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2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②</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对新兴全县（包括各派出所及交警、派出所等派出机构）的移动警务终端负责以下工作：</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A、收集日常使用问题，意见反馈等，每月进行整理，并制定报告表格给用户方留存。</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B、电话远程技术支持、答疑咨询等。</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C、安全TF卡\贴膜卡用户的新增、更新、调整等，省厅政务微信平台机构及用户的增删调整等，终端软件平台应用用户的增删调整等。</w:t>
      </w:r>
    </w:p>
    <w:p>
      <w:pPr>
        <w:pStyle w:val="9"/>
        <w:keepNext w:val="0"/>
        <w:keepLines w:val="0"/>
        <w:pageBreakBefore w:val="0"/>
        <w:kinsoku/>
        <w:wordWrap/>
        <w:overflowPunct/>
        <w:topLinePunct w:val="0"/>
        <w:bidi w:val="0"/>
        <w:spacing w:line="480" w:lineRule="auto"/>
        <w:ind w:firstLine="472" w:firstLineChars="225"/>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3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③</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用户方交待的其他相关工作。</w:t>
      </w:r>
    </w:p>
    <w:p>
      <w:pPr>
        <w:spacing w:line="480" w:lineRule="exact"/>
        <w:ind w:firstLine="105" w:firstLineChars="50"/>
        <w:rPr>
          <w:rFonts w:hint="eastAsia" w:ascii="宋体" w:hAnsi="宋体" w:eastAsia="宋体" w:cs="宋体"/>
          <w:color w:val="auto"/>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4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④</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非正常上班时间电话远程技术支持，视故障紧急程度到客户现场解决。</w:t>
      </w:r>
      <w:r>
        <w:rPr>
          <w:rFonts w:hint="eastAsia" w:ascii="宋体" w:hAnsi="宋体" w:eastAsia="宋体" w:cs="宋体"/>
          <w:color w:val="auto"/>
        </w:rPr>
        <w:t xml:space="preserve">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1、</w:t>
      </w:r>
      <w:r>
        <w:rPr>
          <w:rFonts w:hint="eastAsia" w:ascii="宋体" w:hAnsi="宋体"/>
          <w:color w:val="auto"/>
        </w:rPr>
        <w:t>中标</w:t>
      </w:r>
      <w:r>
        <w:rPr>
          <w:rFonts w:hint="eastAsia" w:ascii="宋体" w:hAnsi="宋体"/>
          <w:color w:val="auto"/>
          <w:lang w:val="en-US" w:eastAsia="zh-CN"/>
        </w:rPr>
        <w:t>人</w:t>
      </w:r>
      <w:r>
        <w:rPr>
          <w:rFonts w:hint="eastAsia" w:ascii="宋体" w:hAnsi="宋体"/>
          <w:color w:val="auto"/>
        </w:rPr>
        <w:t>必须向</w:t>
      </w:r>
      <w:r>
        <w:rPr>
          <w:rFonts w:hint="eastAsia" w:ascii="宋体" w:hAnsi="宋体"/>
          <w:color w:val="auto"/>
          <w:lang w:val="en-US" w:eastAsia="zh-CN"/>
        </w:rPr>
        <w:t>采购人</w:t>
      </w:r>
      <w:r>
        <w:rPr>
          <w:rFonts w:hint="eastAsia" w:ascii="宋体" w:hAnsi="宋体"/>
          <w:color w:val="auto"/>
        </w:rPr>
        <w:t>提供正式发票。</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color w:val="auto"/>
          <w:lang w:val="en-US" w:eastAsia="zh-CN"/>
        </w:rPr>
        <w:t>2、</w:t>
      </w:r>
      <w:r>
        <w:rPr>
          <w:rFonts w:hint="eastAsia"/>
          <w:color w:val="auto"/>
        </w:rPr>
        <w:t>合同生效后，</w:t>
      </w:r>
      <w:r>
        <w:rPr>
          <w:rFonts w:hint="eastAsia"/>
          <w:color w:val="auto"/>
          <w:lang w:val="en-US" w:eastAsia="zh-CN"/>
        </w:rPr>
        <w:t>中标人</w:t>
      </w:r>
      <w:r>
        <w:rPr>
          <w:rFonts w:hint="eastAsia"/>
          <w:color w:val="auto"/>
        </w:rPr>
        <w:t>将</w:t>
      </w:r>
      <w:r>
        <w:rPr>
          <w:rFonts w:hint="eastAsia"/>
          <w:color w:val="auto"/>
          <w:lang w:val="en-US" w:eastAsia="zh-CN"/>
        </w:rPr>
        <w:t>中标金额的</w:t>
      </w:r>
      <w:r>
        <w:rPr>
          <w:rFonts w:hint="eastAsia"/>
          <w:color w:val="auto"/>
          <w:u w:val="single"/>
        </w:rPr>
        <w:t xml:space="preserve">5 </w:t>
      </w:r>
      <w:r>
        <w:rPr>
          <w:rFonts w:hint="eastAsia"/>
          <w:color w:val="auto"/>
        </w:rPr>
        <w:t>%汇至</w:t>
      </w:r>
      <w:r>
        <w:rPr>
          <w:rFonts w:hint="eastAsia"/>
          <w:color w:val="auto"/>
          <w:lang w:val="en-US" w:eastAsia="zh-CN"/>
        </w:rPr>
        <w:t>采购人</w:t>
      </w:r>
      <w:r>
        <w:rPr>
          <w:rFonts w:hint="eastAsia"/>
          <w:color w:val="auto"/>
        </w:rPr>
        <w:t>指定账户作为合同履约保证金，</w:t>
      </w:r>
      <w:r>
        <w:rPr>
          <w:rFonts w:hint="eastAsia"/>
          <w:color w:val="auto"/>
          <w:lang w:eastAsia="zh-CN"/>
        </w:rPr>
        <w:t>验收合格后将合同履约保证金转为质保金，</w:t>
      </w:r>
      <w:r>
        <w:rPr>
          <w:rFonts w:hint="eastAsia"/>
          <w:bCs/>
          <w:color w:val="auto"/>
        </w:rPr>
        <w:t>质保期</w:t>
      </w:r>
      <w:r>
        <w:rPr>
          <w:rFonts w:hint="eastAsia"/>
          <w:color w:val="auto"/>
        </w:rPr>
        <w:t>满</w:t>
      </w:r>
      <w:r>
        <w:rPr>
          <w:rFonts w:hint="eastAsia"/>
          <w:color w:val="auto"/>
          <w:u w:val="single"/>
        </w:rPr>
        <w:t>15</w:t>
      </w:r>
      <w:r>
        <w:rPr>
          <w:rFonts w:hint="eastAsia"/>
          <w:color w:val="auto"/>
        </w:rPr>
        <w:t>个工作日内无息归还</w:t>
      </w:r>
      <w:r>
        <w:rPr>
          <w:rFonts w:hint="eastAsia"/>
          <w:color w:val="auto"/>
          <w:lang w:val="en-US" w:eastAsia="zh-CN"/>
        </w:rPr>
        <w:t>中标人</w:t>
      </w:r>
      <w:r>
        <w:rPr>
          <w:rFonts w:hint="eastAsia"/>
          <w:color w:val="auto"/>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szCs w:val="21"/>
          <w:lang w:eastAsia="zh-CN"/>
        </w:rPr>
      </w:pPr>
      <w:r>
        <w:rPr>
          <w:rFonts w:hint="eastAsia" w:ascii="宋体" w:hAnsi="宋体"/>
          <w:color w:val="auto"/>
          <w:lang w:val="en-US" w:eastAsia="zh-CN"/>
        </w:rPr>
        <w:t>3</w:t>
      </w:r>
      <w:r>
        <w:rPr>
          <w:rFonts w:hint="eastAsia" w:ascii="宋体" w:hAnsi="宋体"/>
          <w:color w:val="auto"/>
          <w:lang w:eastAsia="zh-CN"/>
        </w:rPr>
        <w:t>、</w:t>
      </w:r>
      <w:r>
        <w:rPr>
          <w:rFonts w:hint="eastAsia" w:ascii="宋体" w:hAnsi="宋体"/>
          <w:color w:val="auto"/>
          <w:szCs w:val="21"/>
        </w:rPr>
        <w:t>在合同签订后</w:t>
      </w:r>
      <w:r>
        <w:rPr>
          <w:rFonts w:hint="eastAsia" w:ascii="宋体" w:hAnsi="宋体"/>
          <w:color w:val="auto"/>
          <w:szCs w:val="21"/>
          <w:lang w:val="en-US" w:eastAsia="zh-CN"/>
        </w:rPr>
        <w:t>10</w:t>
      </w:r>
      <w:r>
        <w:rPr>
          <w:rFonts w:hint="eastAsia" w:ascii="宋体" w:hAnsi="宋体"/>
          <w:color w:val="auto"/>
          <w:szCs w:val="21"/>
        </w:rPr>
        <w:t>个工作日内支付</w:t>
      </w:r>
      <w:r>
        <w:rPr>
          <w:rFonts w:hint="eastAsia" w:ascii="宋体" w:hAnsi="宋体"/>
          <w:color w:val="auto"/>
          <w:szCs w:val="21"/>
          <w:lang w:val="en-US" w:eastAsia="zh-CN"/>
        </w:rPr>
        <w:t>中标金额</w:t>
      </w:r>
      <w:r>
        <w:rPr>
          <w:rFonts w:hint="eastAsia" w:ascii="宋体" w:hAnsi="宋体"/>
          <w:color w:val="auto"/>
          <w:szCs w:val="21"/>
        </w:rPr>
        <w:t>的</w:t>
      </w:r>
      <w:r>
        <w:rPr>
          <w:rFonts w:hint="eastAsia" w:ascii="宋体" w:hAnsi="宋体"/>
          <w:color w:val="auto"/>
          <w:szCs w:val="21"/>
          <w:lang w:val="en-US" w:eastAsia="zh-CN"/>
        </w:rPr>
        <w:t>20</w:t>
      </w:r>
      <w:r>
        <w:rPr>
          <w:rFonts w:hint="eastAsia" w:ascii="宋体" w:hAnsi="宋体"/>
          <w:color w:val="auto"/>
          <w:szCs w:val="21"/>
        </w:rPr>
        <w:t>%</w:t>
      </w:r>
      <w:r>
        <w:rPr>
          <w:rFonts w:hint="eastAsia" w:ascii="宋体" w:hAnsi="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lang w:eastAsia="zh-CN"/>
        </w:rPr>
      </w:pPr>
      <w:r>
        <w:rPr>
          <w:rFonts w:hint="eastAsia" w:ascii="宋体" w:hAnsi="宋体"/>
          <w:color w:val="auto"/>
          <w:szCs w:val="21"/>
          <w:lang w:val="en-US" w:eastAsia="zh-CN"/>
        </w:rPr>
        <w:t>4、</w:t>
      </w:r>
      <w:r>
        <w:rPr>
          <w:rFonts w:hint="eastAsia" w:ascii="宋体" w:hAnsi="宋体"/>
          <w:color w:val="auto"/>
        </w:rPr>
        <w:t>按招投标文件要求进行</w:t>
      </w:r>
      <w:r>
        <w:rPr>
          <w:rFonts w:hint="eastAsia" w:ascii="宋体" w:hAnsi="宋体" w:eastAsia="宋体"/>
          <w:color w:val="auto"/>
          <w:szCs w:val="21"/>
        </w:rPr>
        <w:t>手机</w:t>
      </w:r>
      <w:r>
        <w:rPr>
          <w:rFonts w:ascii="宋体" w:hAnsi="宋体" w:eastAsia="宋体"/>
          <w:color w:val="auto"/>
          <w:szCs w:val="21"/>
        </w:rPr>
        <w:t>终端、安全智能</w:t>
      </w:r>
      <w:r>
        <w:rPr>
          <w:rFonts w:hint="eastAsia" w:ascii="宋体" w:hAnsi="宋体" w:eastAsia="宋体"/>
          <w:color w:val="auto"/>
          <w:szCs w:val="21"/>
        </w:rPr>
        <w:t>薄膜</w:t>
      </w:r>
      <w:r>
        <w:rPr>
          <w:rFonts w:ascii="宋体" w:hAnsi="宋体" w:eastAsia="宋体"/>
          <w:color w:val="auto"/>
          <w:szCs w:val="21"/>
        </w:rPr>
        <w:t>卡到货，经采购人初验合格后10个工作日内，采购人向中标人支付</w:t>
      </w:r>
      <w:r>
        <w:rPr>
          <w:rFonts w:hint="eastAsia" w:ascii="宋体" w:hAnsi="宋体" w:eastAsia="宋体"/>
          <w:color w:val="auto"/>
          <w:szCs w:val="21"/>
          <w:lang w:val="en-US" w:eastAsia="zh-CN"/>
        </w:rPr>
        <w:t>中标金额的</w:t>
      </w:r>
      <w:r>
        <w:rPr>
          <w:rFonts w:ascii="宋体" w:hAnsi="宋体" w:eastAsia="宋体"/>
          <w:color w:val="auto"/>
          <w:szCs w:val="21"/>
        </w:rPr>
        <w:t>60%</w:t>
      </w:r>
      <w:r>
        <w:rPr>
          <w:rFonts w:hint="eastAsia" w:ascii="宋体" w:hAnsi="宋体" w:eastAsia="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5、</w:t>
      </w:r>
      <w:r>
        <w:rPr>
          <w:rFonts w:ascii="宋体" w:hAnsi="宋体" w:eastAsia="宋体"/>
          <w:color w:val="auto"/>
          <w:szCs w:val="21"/>
        </w:rPr>
        <w:t>采购人</w:t>
      </w:r>
      <w:r>
        <w:rPr>
          <w:rFonts w:hint="eastAsia" w:ascii="宋体" w:hAnsi="宋体" w:eastAsia="宋体"/>
          <w:color w:val="auto"/>
          <w:szCs w:val="21"/>
          <w:lang w:val="en-US" w:eastAsia="zh-CN"/>
        </w:rPr>
        <w:t>最</w:t>
      </w:r>
      <w:r>
        <w:rPr>
          <w:rFonts w:ascii="宋体" w:hAnsi="宋体" w:eastAsia="宋体"/>
          <w:color w:val="auto"/>
          <w:szCs w:val="21"/>
        </w:rPr>
        <w:t>终验</w:t>
      </w:r>
      <w:r>
        <w:rPr>
          <w:rFonts w:hint="eastAsia" w:ascii="宋体" w:hAnsi="宋体" w:eastAsia="宋体"/>
          <w:color w:val="auto"/>
          <w:szCs w:val="21"/>
          <w:lang w:val="en-US" w:eastAsia="zh-CN"/>
        </w:rPr>
        <w:t>收</w:t>
      </w:r>
      <w:r>
        <w:rPr>
          <w:rFonts w:ascii="宋体" w:hAnsi="宋体" w:eastAsia="宋体"/>
          <w:color w:val="auto"/>
          <w:szCs w:val="21"/>
        </w:rPr>
        <w:t>合格后10个工作日内向中标人支付</w:t>
      </w:r>
      <w:r>
        <w:rPr>
          <w:rFonts w:hint="eastAsia" w:ascii="宋体" w:hAnsi="宋体" w:eastAsia="宋体"/>
          <w:color w:val="auto"/>
          <w:szCs w:val="21"/>
          <w:lang w:val="en-US" w:eastAsia="zh-CN"/>
        </w:rPr>
        <w:t>中标金额的20%</w:t>
      </w:r>
      <w:r>
        <w:rPr>
          <w:rFonts w:hint="eastAsia" w:ascii="宋体" w:hAnsi="宋体"/>
          <w:color w:val="auto"/>
        </w:rPr>
        <w:t>。</w:t>
      </w:r>
    </w:p>
    <w:p>
      <w:pPr>
        <w:spacing w:line="480" w:lineRule="exact"/>
        <w:rPr>
          <w:rFonts w:hint="eastAsia" w:ascii="宋体" w:hAnsi="宋体" w:eastAsia="宋体" w:cs="宋体"/>
          <w:b w:val="0"/>
          <w:color w:val="auto"/>
          <w:kern w:val="2"/>
          <w:sz w:val="21"/>
          <w:szCs w:val="21"/>
          <w:lang w:val="en-US" w:eastAsia="zh-CN" w:bidi="ar-SA"/>
        </w:rPr>
      </w:pPr>
      <w:r>
        <w:rPr>
          <w:rFonts w:hint="eastAsia" w:ascii="宋体" w:hAnsi="宋体"/>
          <w:color w:val="auto"/>
          <w:lang w:val="en-US" w:eastAsia="zh-CN"/>
        </w:rPr>
        <w:t>6、</w:t>
      </w:r>
      <w:r>
        <w:rPr>
          <w:rFonts w:hint="eastAsia" w:ascii="宋体" w:hAnsi="宋体"/>
          <w:color w:val="auto"/>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lang w:eastAsia="zh-CN"/>
        </w:rPr>
      </w:pPr>
      <w:r>
        <w:rPr>
          <w:rFonts w:hint="eastAsia" w:ascii="宋体" w:hAnsi="宋体" w:eastAsia="宋体" w:cs="宋体"/>
          <w:b/>
          <w:color w:val="auto"/>
          <w:szCs w:val="21"/>
        </w:rPr>
        <w:t>八、违约责任与赔偿损失</w:t>
      </w:r>
      <w:r>
        <w:rPr>
          <w:rFonts w:hint="eastAsia" w:ascii="宋体" w:hAnsi="宋体" w:cs="宋体"/>
          <w:b/>
          <w:color w:val="auto"/>
          <w:szCs w:val="21"/>
          <w:lang w:eastAsia="zh-CN"/>
        </w:rPr>
        <w:t>（</w:t>
      </w:r>
      <w:r>
        <w:rPr>
          <w:rFonts w:hint="eastAsia" w:ascii="宋体" w:hAnsi="宋体" w:cs="宋体"/>
          <w:b/>
          <w:color w:val="auto"/>
          <w:szCs w:val="21"/>
          <w:lang w:val="en-US" w:eastAsia="zh-CN"/>
        </w:rPr>
        <w:t>如有要求</w:t>
      </w:r>
      <w:r>
        <w:rPr>
          <w:rFonts w:hint="eastAsia" w:ascii="宋体" w:hAnsi="宋体" w:cs="宋体"/>
          <w:b/>
          <w:color w:val="auto"/>
          <w:szCs w:val="21"/>
          <w:lang w:eastAsia="zh-CN"/>
        </w:rPr>
        <w:t>）</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5" w:name="_Toc202252033"/>
      <w:bookmarkStart w:id="6" w:name="_Toc202251699"/>
      <w:bookmarkStart w:id="7" w:name="_Toc202819877"/>
      <w:bookmarkStart w:id="8" w:name="_Toc202254104"/>
      <w:bookmarkStart w:id="9" w:name="_Toc202816995"/>
      <w:bookmarkStart w:id="10" w:name="_Toc202820350"/>
      <w:bookmarkStart w:id="11" w:name="_Toc202251074"/>
      <w:r>
        <w:rPr>
          <w:rFonts w:hint="eastAsia" w:ascii="宋体" w:hAnsi="宋体" w:eastAsia="宋体" w:cs="宋体"/>
          <w:b/>
          <w:color w:val="auto"/>
          <w:sz w:val="32"/>
          <w:szCs w:val="32"/>
        </w:rPr>
        <w:t>自查表</w:t>
      </w:r>
      <w:bookmarkEnd w:id="5"/>
      <w:bookmarkEnd w:id="6"/>
      <w:bookmarkEnd w:id="7"/>
      <w:bookmarkEnd w:id="8"/>
      <w:bookmarkEnd w:id="9"/>
      <w:bookmarkEnd w:id="10"/>
      <w:bookmarkEnd w:id="11"/>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r>
              <w:rPr>
                <w:rFonts w:hint="eastAsia" w:ascii="宋体" w:hAnsi="宋体" w:eastAsia="宋体" w:cs="宋体"/>
                <w:color w:val="auto"/>
                <w:szCs w:val="21"/>
              </w:rPr>
              <w:t>预算金额：</w:t>
            </w:r>
            <w:r>
              <w:rPr>
                <w:rFonts w:hint="eastAsia" w:ascii="宋体" w:hAnsi="宋体" w:cs="宋体"/>
                <w:color w:val="auto"/>
                <w:szCs w:val="21"/>
                <w:lang w:eastAsia="zh-CN"/>
              </w:rPr>
              <w:t>¥1,839,200.00元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3"/>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3"/>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4"/>
              <w:spacing w:before="0" w:after="0" w:line="360" w:lineRule="auto"/>
              <w:rPr>
                <w:rFonts w:hint="eastAsia" w:ascii="宋体" w:hAnsi="宋体" w:eastAsia="宋体" w:cs="宋体"/>
                <w:color w:val="auto"/>
                <w:sz w:val="21"/>
                <w:szCs w:val="21"/>
              </w:rPr>
            </w:pPr>
          </w:p>
        </w:tc>
        <w:tc>
          <w:tcPr>
            <w:tcW w:w="6330" w:type="dxa"/>
            <w:vAlign w:val="center"/>
          </w:tcPr>
          <w:p>
            <w:pPr>
              <w:pStyle w:val="22"/>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2"/>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2" w:name="_Hlt10519799"/>
      <w:bookmarkEnd w:id="12"/>
      <w:bookmarkStart w:id="13" w:name="_Toc42951051"/>
      <w:r>
        <w:rPr>
          <w:rFonts w:hint="eastAsia" w:ascii="宋体" w:hAnsi="宋体" w:eastAsia="宋体" w:cs="宋体"/>
          <w:color w:val="auto"/>
          <w:sz w:val="32"/>
          <w:szCs w:val="32"/>
        </w:rPr>
        <w:t>1．报</w:t>
      </w:r>
      <w:bookmarkStart w:id="14" w:name="_Hlt10519308"/>
      <w:bookmarkEnd w:id="14"/>
      <w:r>
        <w:rPr>
          <w:rFonts w:hint="eastAsia" w:ascii="宋体" w:hAnsi="宋体" w:eastAsia="宋体" w:cs="宋体"/>
          <w:color w:val="auto"/>
          <w:sz w:val="32"/>
          <w:szCs w:val="32"/>
        </w:rPr>
        <w:t>价文件格式</w:t>
      </w:r>
      <w:bookmarkEnd w:id="13"/>
      <w:bookmarkStart w:id="15" w:name="_Hlt10456397"/>
      <w:bookmarkEnd w:id="15"/>
    </w:p>
    <w:p>
      <w:pPr>
        <w:pStyle w:val="15"/>
        <w:spacing w:line="480" w:lineRule="exact"/>
        <w:ind w:left="420" w:leftChars="200"/>
        <w:rPr>
          <w:rFonts w:hint="eastAsia" w:ascii="宋体" w:hAnsi="宋体" w:eastAsia="宋体" w:cs="宋体"/>
          <w:b/>
          <w:color w:val="auto"/>
        </w:rPr>
      </w:pPr>
    </w:p>
    <w:p>
      <w:pPr>
        <w:pStyle w:val="15"/>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5"/>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5"/>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5"/>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445381-201809-81434028-0021</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5"/>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5"/>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5"/>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5"/>
        <w:spacing w:line="360" w:lineRule="auto"/>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5"/>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 w:name="_Hlt10519541"/>
      <w:bookmarkEnd w:id="16"/>
      <w:bookmarkStart w:id="17" w:name="_Toc42951052"/>
      <w:bookmarkStart w:id="18" w:name="_Hlt10456257"/>
      <w:r>
        <w:rPr>
          <w:rFonts w:hint="eastAsia" w:ascii="宋体" w:hAnsi="宋体" w:eastAsia="宋体" w:cs="宋体"/>
          <w:color w:val="auto"/>
          <w:sz w:val="32"/>
          <w:szCs w:val="32"/>
        </w:rPr>
        <w:t>2．报价函格式</w:t>
      </w:r>
      <w:bookmarkEnd w:id="17"/>
    </w:p>
    <w:bookmarkEnd w:id="1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5"/>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5"/>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5"/>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5"/>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5"/>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5"/>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5"/>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5"/>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7"/>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4"/>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445381-201809-81434028-0021</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9" w:name="_Toc42951053"/>
      <w:r>
        <w:rPr>
          <w:rFonts w:hint="eastAsia" w:ascii="宋体" w:hAnsi="宋体" w:eastAsia="宋体" w:cs="宋体"/>
          <w:color w:val="auto"/>
          <w:sz w:val="32"/>
          <w:szCs w:val="32"/>
        </w:rPr>
        <w:t>3．</w:t>
      </w:r>
      <w:bookmarkEnd w:id="1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5"/>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5"/>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5"/>
        <w:spacing w:line="480" w:lineRule="exact"/>
        <w:rPr>
          <w:rFonts w:hint="eastAsia" w:ascii="宋体" w:hAnsi="宋体" w:eastAsia="宋体" w:cs="宋体"/>
          <w:color w:val="auto"/>
          <w:sz w:val="24"/>
        </w:rPr>
      </w:pPr>
    </w:p>
    <w:p>
      <w:pPr>
        <w:pStyle w:val="15"/>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5"/>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5"/>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5"/>
        <w:spacing w:line="480" w:lineRule="exact"/>
        <w:rPr>
          <w:rFonts w:hint="eastAsia" w:ascii="宋体" w:hAnsi="宋体" w:eastAsia="宋体" w:cs="宋体"/>
          <w:color w:val="auto"/>
        </w:rPr>
      </w:pP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2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20"/>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21" w:name="_Hlt10549792"/>
      <w:bookmarkEnd w:id="2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5"/>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22" w:name="_Toc42951056"/>
      <w:r>
        <w:rPr>
          <w:rFonts w:hint="eastAsia" w:ascii="宋体" w:hAnsi="宋体" w:eastAsia="宋体" w:cs="宋体"/>
          <w:b/>
          <w:bCs/>
          <w:color w:val="auto"/>
          <w:kern w:val="44"/>
          <w:sz w:val="32"/>
          <w:szCs w:val="32"/>
        </w:rPr>
        <w:t xml:space="preserve"> 7．商务响应表格式</w:t>
      </w:r>
      <w:bookmarkEnd w:id="2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2"/>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7"/>
              <w:rPr>
                <w:rFonts w:hint="eastAsia" w:ascii="宋体" w:hAnsi="宋体" w:eastAsia="宋体" w:cs="宋体"/>
                <w:color w:val="auto"/>
              </w:rPr>
            </w:pPr>
          </w:p>
        </w:tc>
        <w:tc>
          <w:tcPr>
            <w:tcW w:w="2017" w:type="dxa"/>
            <w:vAlign w:val="center"/>
          </w:tcPr>
          <w:p>
            <w:pPr>
              <w:pStyle w:val="51"/>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7"/>
              <w:rPr>
                <w:rFonts w:hint="eastAsia" w:ascii="宋体" w:hAnsi="宋体" w:eastAsia="宋体" w:cs="宋体"/>
                <w:color w:val="auto"/>
              </w:rPr>
            </w:pPr>
          </w:p>
        </w:tc>
        <w:tc>
          <w:tcPr>
            <w:tcW w:w="2017" w:type="dxa"/>
            <w:vAlign w:val="center"/>
          </w:tcPr>
          <w:p>
            <w:pPr>
              <w:pStyle w:val="51"/>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3" w:name="_Hlt10456523"/>
      <w:bookmarkEnd w:id="23"/>
      <w:bookmarkStart w:id="24" w:name="_Toc42951057"/>
      <w:r>
        <w:rPr>
          <w:rFonts w:hint="eastAsia" w:ascii="宋体" w:hAnsi="宋体" w:eastAsia="宋体" w:cs="宋体"/>
          <w:color w:val="auto"/>
          <w:sz w:val="32"/>
          <w:szCs w:val="32"/>
        </w:rPr>
        <w:t>8．服务费承诺书格式</w:t>
      </w:r>
      <w:bookmarkEnd w:id="2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445381-201809-81434028-0021</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5" w:name="_Hlt10520032"/>
      <w:bookmarkEnd w:id="25"/>
      <w:bookmarkStart w:id="26" w:name="_Hlt10520073"/>
      <w:bookmarkEnd w:id="26"/>
      <w:bookmarkStart w:id="27" w:name="_Toc42951058"/>
      <w:r>
        <w:rPr>
          <w:rFonts w:hint="eastAsia" w:ascii="宋体" w:hAnsi="宋体" w:eastAsia="宋体" w:cs="宋体"/>
          <w:color w:val="auto"/>
          <w:sz w:val="32"/>
          <w:szCs w:val="32"/>
        </w:rPr>
        <w:t>9．其它资料格式</w:t>
      </w:r>
      <w:bookmarkEnd w:id="2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4"/>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近3</w:t>
      </w:r>
      <w:r>
        <w:rPr>
          <w:rFonts w:hint="eastAsia" w:ascii="宋体" w:hAnsi="宋体" w:eastAsia="宋体" w:cs="宋体"/>
          <w:b/>
          <w:color w:val="auto"/>
          <w:sz w:val="28"/>
          <w:szCs w:val="28"/>
          <w:lang w:val="en-US" w:eastAsia="zh-CN"/>
        </w:rPr>
        <w:t>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近3</w:t>
      </w:r>
      <w:r>
        <w:rPr>
          <w:rFonts w:hint="eastAsia" w:ascii="宋体" w:hAnsi="宋体" w:eastAsia="宋体" w:cs="宋体"/>
          <w:color w:val="auto"/>
          <w:lang w:val="en-US" w:eastAsia="zh-CN"/>
        </w:rPr>
        <w:t>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28" w:name="_Hlt10462379"/>
      <w:bookmarkEnd w:id="28"/>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5"/>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29" w:name="_Hlt10520028"/>
      <w:bookmarkEnd w:id="29"/>
      <w:bookmarkStart w:id="30" w:name="_Hlt10523647"/>
      <w:bookmarkEnd w:id="30"/>
      <w:bookmarkStart w:id="31" w:name="_Toc42951059"/>
      <w:r>
        <w:rPr>
          <w:rFonts w:hint="eastAsia" w:ascii="宋体" w:hAnsi="宋体" w:eastAsia="宋体" w:cs="宋体"/>
          <w:color w:val="auto"/>
          <w:sz w:val="32"/>
          <w:szCs w:val="32"/>
        </w:rPr>
        <w:t>10．</w:t>
      </w:r>
      <w:bookmarkEnd w:id="31"/>
      <w:bookmarkStart w:id="32" w:name="_Toc42956284"/>
      <w:bookmarkStart w:id="33" w:name="_Toc4471859"/>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34" w:name="_Toc42956283"/>
      <w:r>
        <w:rPr>
          <w:rFonts w:hint="eastAsia" w:ascii="宋体" w:hAnsi="宋体" w:eastAsia="宋体" w:cs="宋体"/>
          <w:b/>
          <w:color w:val="auto"/>
          <w:sz w:val="28"/>
          <w:szCs w:val="28"/>
        </w:rPr>
        <w:t>10.1</w:t>
      </w:r>
      <w:bookmarkEnd w:id="3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5"/>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5"/>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5"/>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5"/>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5"/>
        <w:spacing w:line="360" w:lineRule="auto"/>
        <w:ind w:firstLine="403" w:firstLineChars="192"/>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2"/>
    <w:bookmarkEnd w:id="3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5"/>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35" w:name="_Toc42956290"/>
      <w:r>
        <w:rPr>
          <w:rFonts w:hint="eastAsia" w:ascii="宋体" w:hAnsi="宋体" w:eastAsia="宋体" w:cs="宋体"/>
          <w:b/>
          <w:color w:val="auto"/>
          <w:sz w:val="28"/>
          <w:szCs w:val="28"/>
        </w:rPr>
        <w:t>10.3   采购人配合条件</w:t>
      </w:r>
      <w:bookmarkEnd w:id="3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bookmarkStart w:id="36" w:name="_Hlt10567911"/>
      <w:bookmarkEnd w:id="36"/>
    </w:p>
    <w:p>
      <w:pPr>
        <w:pStyle w:val="15"/>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7" w:name="_Hlt10523642"/>
      <w:bookmarkEnd w:id="37"/>
    </w:p>
    <w:p>
      <w:pPr>
        <w:pStyle w:val="15"/>
        <w:spacing w:line="20" w:lineRule="exact"/>
        <w:outlineLvl w:val="0"/>
        <w:rPr>
          <w:rFonts w:hint="eastAsia" w:ascii="宋体" w:hAnsi="宋体" w:eastAsia="宋体" w:cs="宋体"/>
          <w:b/>
          <w:color w:val="auto"/>
          <w:sz w:val="44"/>
          <w:szCs w:val="44"/>
        </w:rPr>
      </w:pPr>
    </w:p>
    <w:p>
      <w:pPr>
        <w:pStyle w:val="15"/>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5"/>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5"/>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5"/>
        <w:spacing w:line="400" w:lineRule="atLeast"/>
        <w:rPr>
          <w:rFonts w:hint="eastAsia" w:ascii="宋体" w:hAnsi="宋体" w:eastAsia="宋体" w:cs="宋体"/>
          <w:color w:val="auto"/>
        </w:rPr>
      </w:pPr>
    </w:p>
    <w:p>
      <w:pPr>
        <w:pStyle w:val="15"/>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新兴县公安局新一代移动警务系统终端采购及配套服务采购项目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445381-201809-81434028-0021</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5"/>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5"/>
        <w:spacing w:line="20" w:lineRule="exact"/>
        <w:rPr>
          <w:rFonts w:hint="eastAsia" w:ascii="宋体" w:hAnsi="宋体" w:eastAsia="宋体" w:cs="宋体"/>
          <w:color w:val="auto"/>
        </w:rPr>
      </w:pPr>
      <w:bookmarkStart w:id="38" w:name="_Hlt10524010"/>
      <w:bookmarkEnd w:id="38"/>
      <w:bookmarkStart w:id="39" w:name="_Hlt10462525"/>
      <w:bookmarkEnd w:id="39"/>
      <w:bookmarkStart w:id="40" w:name="_Hlt10529670"/>
      <w:bookmarkEnd w:id="40"/>
      <w:bookmarkStart w:id="41" w:name="_Hlt10524018"/>
      <w:bookmarkEnd w:id="41"/>
      <w:bookmarkStart w:id="42" w:name="_Hlt10524029"/>
      <w:bookmarkEnd w:id="42"/>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inherit">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80000287" w:usb1="28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ascii="宋体" w:hAnsi="宋体"/>
      </w:rPr>
    </w:pPr>
    <w:r>
      <w:rPr>
        <w:rFonts w:hint="eastAsia" w:ascii="宋体" w:hAnsi="宋体" w:cs="Tahoma"/>
        <w:kern w:val="28"/>
        <w:lang w:eastAsia="zh-CN"/>
      </w:rPr>
      <w:t>新兴县公安局新一代移动警务系统终端采购及配套服务采购项目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445381-201809-81434028-0021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ascii="宋体" w:hAnsi="宋体"/>
      </w:rPr>
    </w:pPr>
    <w:r>
      <w:rPr>
        <w:rFonts w:hint="eastAsia" w:ascii="宋体" w:hAnsi="宋体" w:cs="Tahoma"/>
        <w:kern w:val="28"/>
        <w:lang w:eastAsia="zh-CN"/>
      </w:rPr>
      <w:t>新兴县公安局新一代移动警务系统终端采购及配套服务采购项目</w:t>
    </w:r>
    <w:r>
      <w:rPr>
        <w:rFonts w:hint="eastAsia" w:ascii="宋体" w:hAnsi="宋体"/>
        <w:lang w:val="en-US" w:eastAsia="zh-CN"/>
      </w:rPr>
      <w:t xml:space="preserve">                                                                </w:t>
    </w:r>
    <w:r>
      <w:rPr>
        <w:rFonts w:hint="eastAsia" w:ascii="宋体" w:hAnsi="宋体"/>
        <w:lang w:eastAsia="zh-CN"/>
      </w:rPr>
      <w:t>445381-201809-81434028-0021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hint="eastAsia"/>
        <w:sz w:val="18"/>
        <w:szCs w:val="18"/>
      </w:rPr>
    </w:pPr>
    <w:r>
      <w:rPr>
        <w:rFonts w:hint="eastAsia" w:ascii="Tahoma" w:hAnsi="Tahoma" w:cs="Tahoma"/>
        <w:sz w:val="18"/>
        <w:szCs w:val="18"/>
        <w:lang w:eastAsia="zh-CN"/>
      </w:rPr>
      <w:t>新兴县公安局新一代移动警务系统终端采购及配套服务采购项目</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445381-201809-81434028-0021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445381-201809-81434028-0021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szCs w:val="21"/>
        <w:lang w:eastAsia="zh-CN"/>
      </w:rPr>
      <w:t>445381-201809-81434028-0021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CD241E"/>
    <w:multiLevelType w:val="singleLevel"/>
    <w:tmpl w:val="9ECD241E"/>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6086E89A"/>
    <w:multiLevelType w:val="singleLevel"/>
    <w:tmpl w:val="6086E89A"/>
    <w:lvl w:ilvl="0" w:tentative="0">
      <w:start w:val="1"/>
      <w:numFmt w:val="decimal"/>
      <w:lvlText w:val="%1."/>
      <w:lvlJc w:val="left"/>
      <w:pPr>
        <w:ind w:left="425" w:hanging="425"/>
      </w:pPr>
      <w:rPr>
        <w:rFonts w:hint="default"/>
      </w:rPr>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4"/>
  </w:num>
  <w:num w:numId="4">
    <w:abstractNumId w:val="6"/>
  </w:num>
  <w:num w:numId="5">
    <w:abstractNumId w:val="7"/>
  </w:num>
  <w:num w:numId="6">
    <w:abstractNumId w:val="11"/>
  </w:num>
  <w:num w:numId="7">
    <w:abstractNumId w:val="16"/>
  </w:num>
  <w:num w:numId="8">
    <w:abstractNumId w:val="5"/>
  </w:num>
  <w:num w:numId="9">
    <w:abstractNumId w:val="4"/>
  </w:num>
  <w:num w:numId="10">
    <w:abstractNumId w:val="3"/>
  </w:num>
  <w:num w:numId="11">
    <w:abstractNumId w:val="12"/>
  </w:num>
  <w:num w:numId="12">
    <w:abstractNumId w:val="15"/>
  </w:num>
  <w:num w:numId="13">
    <w:abstractNumId w:val="10"/>
  </w:num>
  <w:num w:numId="14">
    <w:abstractNumId w:val="8"/>
  </w:num>
  <w:num w:numId="15">
    <w:abstractNumId w:val="0"/>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21A69D9"/>
    <w:rsid w:val="02EC30C6"/>
    <w:rsid w:val="031B422C"/>
    <w:rsid w:val="03627E67"/>
    <w:rsid w:val="036B6473"/>
    <w:rsid w:val="03812DC1"/>
    <w:rsid w:val="043645E4"/>
    <w:rsid w:val="047F0BB1"/>
    <w:rsid w:val="04CD050A"/>
    <w:rsid w:val="04E108E2"/>
    <w:rsid w:val="0555612F"/>
    <w:rsid w:val="05662847"/>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43697D"/>
    <w:rsid w:val="0EF54881"/>
    <w:rsid w:val="0F0A7732"/>
    <w:rsid w:val="0F6C4701"/>
    <w:rsid w:val="0F6E5BBE"/>
    <w:rsid w:val="0F900189"/>
    <w:rsid w:val="0FEB4CD3"/>
    <w:rsid w:val="100C1DE2"/>
    <w:rsid w:val="1019376E"/>
    <w:rsid w:val="104F6C04"/>
    <w:rsid w:val="11651119"/>
    <w:rsid w:val="11851E0B"/>
    <w:rsid w:val="118859E1"/>
    <w:rsid w:val="119A7EAE"/>
    <w:rsid w:val="11B72248"/>
    <w:rsid w:val="122120C1"/>
    <w:rsid w:val="13071A9F"/>
    <w:rsid w:val="132F5693"/>
    <w:rsid w:val="13315615"/>
    <w:rsid w:val="1360216B"/>
    <w:rsid w:val="13E75A7D"/>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90D623E"/>
    <w:rsid w:val="19AC22AE"/>
    <w:rsid w:val="1A77131C"/>
    <w:rsid w:val="1ABC48C1"/>
    <w:rsid w:val="1AC30890"/>
    <w:rsid w:val="1AD75447"/>
    <w:rsid w:val="1B5C0BB4"/>
    <w:rsid w:val="1C460235"/>
    <w:rsid w:val="1C620172"/>
    <w:rsid w:val="1CA52556"/>
    <w:rsid w:val="1D1C177C"/>
    <w:rsid w:val="1D2D47BA"/>
    <w:rsid w:val="1E32703C"/>
    <w:rsid w:val="1E6814BB"/>
    <w:rsid w:val="1F2C4194"/>
    <w:rsid w:val="1F7E5188"/>
    <w:rsid w:val="1FEE30DD"/>
    <w:rsid w:val="1FF24262"/>
    <w:rsid w:val="200A62DA"/>
    <w:rsid w:val="209854F6"/>
    <w:rsid w:val="20F2053F"/>
    <w:rsid w:val="214E5F70"/>
    <w:rsid w:val="21AE5DC0"/>
    <w:rsid w:val="21DD349D"/>
    <w:rsid w:val="22415F11"/>
    <w:rsid w:val="22803FA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4D5253"/>
    <w:rsid w:val="2C6F63F4"/>
    <w:rsid w:val="2CF57F33"/>
    <w:rsid w:val="2D3A4BC3"/>
    <w:rsid w:val="2D6E592C"/>
    <w:rsid w:val="2DA7128F"/>
    <w:rsid w:val="2DD850F2"/>
    <w:rsid w:val="2E890BEA"/>
    <w:rsid w:val="2EC0530E"/>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9430A53"/>
    <w:rsid w:val="396430B4"/>
    <w:rsid w:val="397825BC"/>
    <w:rsid w:val="39833969"/>
    <w:rsid w:val="39AF72A0"/>
    <w:rsid w:val="3A923A9B"/>
    <w:rsid w:val="3A9A3131"/>
    <w:rsid w:val="3AA13714"/>
    <w:rsid w:val="3AB60F1D"/>
    <w:rsid w:val="3ABE77F6"/>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1193E41"/>
    <w:rsid w:val="41597CC1"/>
    <w:rsid w:val="41A664D0"/>
    <w:rsid w:val="41B024E5"/>
    <w:rsid w:val="41B13BD3"/>
    <w:rsid w:val="41EF728F"/>
    <w:rsid w:val="42355579"/>
    <w:rsid w:val="42522927"/>
    <w:rsid w:val="425D6528"/>
    <w:rsid w:val="42671377"/>
    <w:rsid w:val="430B6E49"/>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E4455"/>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417376"/>
    <w:rsid w:val="62861860"/>
    <w:rsid w:val="62861D7E"/>
    <w:rsid w:val="62D06C73"/>
    <w:rsid w:val="62EC15DE"/>
    <w:rsid w:val="636724AE"/>
    <w:rsid w:val="63A76D36"/>
    <w:rsid w:val="63CB27A0"/>
    <w:rsid w:val="646803F0"/>
    <w:rsid w:val="64D40A87"/>
    <w:rsid w:val="65285B05"/>
    <w:rsid w:val="65F51812"/>
    <w:rsid w:val="661121FF"/>
    <w:rsid w:val="664D3EEC"/>
    <w:rsid w:val="66C76948"/>
    <w:rsid w:val="66E304F8"/>
    <w:rsid w:val="673967DC"/>
    <w:rsid w:val="6780109A"/>
    <w:rsid w:val="67DA0416"/>
    <w:rsid w:val="67ED4339"/>
    <w:rsid w:val="67F12901"/>
    <w:rsid w:val="683C52F1"/>
    <w:rsid w:val="684024A0"/>
    <w:rsid w:val="688050F9"/>
    <w:rsid w:val="6A2611E1"/>
    <w:rsid w:val="6A4361FA"/>
    <w:rsid w:val="6A9A4D1F"/>
    <w:rsid w:val="6A9F20EC"/>
    <w:rsid w:val="6AA0237F"/>
    <w:rsid w:val="6AC049E9"/>
    <w:rsid w:val="6B961574"/>
    <w:rsid w:val="6BAA13E3"/>
    <w:rsid w:val="6BB15830"/>
    <w:rsid w:val="6BE03B99"/>
    <w:rsid w:val="6CD75CE0"/>
    <w:rsid w:val="6CE72AE5"/>
    <w:rsid w:val="6CF13463"/>
    <w:rsid w:val="6D1A4453"/>
    <w:rsid w:val="6D614100"/>
    <w:rsid w:val="6DC96E0D"/>
    <w:rsid w:val="6E7708AC"/>
    <w:rsid w:val="6E895D94"/>
    <w:rsid w:val="6E987F86"/>
    <w:rsid w:val="6F0F534D"/>
    <w:rsid w:val="6FAD78D3"/>
    <w:rsid w:val="6FF4257E"/>
    <w:rsid w:val="7191270C"/>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71EFA"/>
    <w:rsid w:val="76807514"/>
    <w:rsid w:val="76C9130A"/>
    <w:rsid w:val="786030AA"/>
    <w:rsid w:val="78775F5F"/>
    <w:rsid w:val="788D04F6"/>
    <w:rsid w:val="78E933D4"/>
    <w:rsid w:val="78FF13F1"/>
    <w:rsid w:val="79490AF8"/>
    <w:rsid w:val="79FC742D"/>
    <w:rsid w:val="7A1574E1"/>
    <w:rsid w:val="7A563BF3"/>
    <w:rsid w:val="7AB2474C"/>
    <w:rsid w:val="7AB36319"/>
    <w:rsid w:val="7ABF2D23"/>
    <w:rsid w:val="7B761B39"/>
    <w:rsid w:val="7BD62DEB"/>
    <w:rsid w:val="7BDD0E70"/>
    <w:rsid w:val="7C630EA1"/>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4"/>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0"/>
    <w:link w:val="36"/>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customStyle="1" w:styleId="10">
    <w:name w:val="正文_0"/>
    <w:qFormat/>
    <w:uiPriority w:val="0"/>
    <w:pPr>
      <w:widowControl w:val="0"/>
      <w:jc w:val="both"/>
    </w:pPr>
    <w:rPr>
      <w:rFonts w:ascii="Calibri" w:hAnsi="Calibri" w:eastAsia="宋体" w:cs="Times New Roman"/>
      <w:kern w:val="2"/>
      <w:sz w:val="21"/>
      <w:szCs w:val="24"/>
      <w:lang w:val="en-US" w:eastAsia="zh-CN" w:bidi="ar-SA"/>
    </w:rPr>
  </w:style>
  <w:style w:type="paragraph" w:styleId="11">
    <w:name w:val="caption"/>
    <w:basedOn w:val="1"/>
    <w:next w:val="1"/>
    <w:qFormat/>
    <w:uiPriority w:val="0"/>
    <w:rPr>
      <w:rFonts w:ascii="Arial" w:hAnsi="Arial" w:eastAsia="黑体" w:cs="Arial"/>
      <w:sz w:val="20"/>
    </w:rPr>
  </w:style>
  <w:style w:type="paragraph" w:styleId="12">
    <w:name w:val="Document Map"/>
    <w:basedOn w:val="1"/>
    <w:link w:val="42"/>
    <w:qFormat/>
    <w:uiPriority w:val="0"/>
    <w:rPr>
      <w:rFonts w:ascii="宋体"/>
      <w:sz w:val="18"/>
      <w:szCs w:val="18"/>
    </w:rPr>
  </w:style>
  <w:style w:type="paragraph" w:styleId="13">
    <w:name w:val="Body Text 3"/>
    <w:basedOn w:val="1"/>
    <w:link w:val="43"/>
    <w:qFormat/>
    <w:uiPriority w:val="0"/>
    <w:pPr>
      <w:spacing w:after="120"/>
    </w:pPr>
    <w:rPr>
      <w:sz w:val="16"/>
      <w:szCs w:val="16"/>
    </w:rPr>
  </w:style>
  <w:style w:type="paragraph" w:styleId="14">
    <w:name w:val="Body Text Indent"/>
    <w:basedOn w:val="1"/>
    <w:qFormat/>
    <w:uiPriority w:val="0"/>
    <w:pPr>
      <w:spacing w:after="120"/>
      <w:ind w:left="420" w:leftChars="200"/>
    </w:pPr>
  </w:style>
  <w:style w:type="paragraph" w:styleId="15">
    <w:name w:val="Plain Text"/>
    <w:basedOn w:val="1"/>
    <w:link w:val="39"/>
    <w:qFormat/>
    <w:uiPriority w:val="0"/>
    <w:pPr>
      <w:widowControl w:val="0"/>
      <w:jc w:val="both"/>
    </w:pPr>
    <w:rPr>
      <w:rFonts w:ascii="宋体" w:hAnsi="Courier New"/>
      <w:kern w:val="2"/>
    </w:rPr>
  </w:style>
  <w:style w:type="paragraph" w:styleId="16">
    <w:name w:val="Date"/>
    <w:basedOn w:val="1"/>
    <w:next w:val="1"/>
    <w:qFormat/>
    <w:uiPriority w:val="0"/>
    <w:pPr>
      <w:widowControl w:val="0"/>
      <w:jc w:val="both"/>
    </w:pPr>
    <w:rPr>
      <w:kern w:val="2"/>
    </w:rPr>
  </w:style>
  <w:style w:type="paragraph" w:styleId="17">
    <w:name w:val="Body Text Indent 2"/>
    <w:basedOn w:val="1"/>
    <w:qFormat/>
    <w:uiPriority w:val="0"/>
    <w:pPr>
      <w:spacing w:after="120" w:line="480" w:lineRule="auto"/>
      <w:ind w:left="420" w:leftChars="200"/>
    </w:pPr>
  </w:style>
  <w:style w:type="paragraph" w:styleId="18">
    <w:name w:val="Balloon Text"/>
    <w:basedOn w:val="1"/>
    <w:semiHidden/>
    <w:qFormat/>
    <w:uiPriority w:val="0"/>
    <w:rPr>
      <w:sz w:val="18"/>
      <w:szCs w:val="18"/>
    </w:rPr>
  </w:style>
  <w:style w:type="paragraph" w:styleId="19">
    <w:name w:val="footer"/>
    <w:basedOn w:val="1"/>
    <w:link w:val="45"/>
    <w:qFormat/>
    <w:uiPriority w:val="0"/>
    <w:pPr>
      <w:tabs>
        <w:tab w:val="center" w:pos="4153"/>
        <w:tab w:val="right" w:pos="8306"/>
      </w:tabs>
      <w:snapToGrid w:val="0"/>
    </w:pPr>
    <w:rPr>
      <w:sz w:val="18"/>
      <w:szCs w:val="18"/>
    </w:rPr>
  </w:style>
  <w:style w:type="paragraph" w:styleId="20">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qFormat/>
    <w:uiPriority w:val="0"/>
    <w:pPr>
      <w:tabs>
        <w:tab w:val="left" w:pos="720"/>
      </w:tabs>
      <w:spacing w:line="480" w:lineRule="exact"/>
      <w:jc w:val="center"/>
    </w:pPr>
    <w:rPr>
      <w:rFonts w:ascii="宋体"/>
      <w:b/>
      <w:bCs/>
      <w:sz w:val="28"/>
      <w:szCs w:val="28"/>
    </w:rPr>
  </w:style>
  <w:style w:type="paragraph" w:styleId="22">
    <w:name w:val="index heading"/>
    <w:basedOn w:val="1"/>
    <w:next w:val="23"/>
    <w:qFormat/>
    <w:uiPriority w:val="0"/>
    <w:pPr>
      <w:widowControl w:val="0"/>
      <w:jc w:val="both"/>
    </w:pPr>
    <w:rPr>
      <w:kern w:val="2"/>
      <w:szCs w:val="24"/>
    </w:rPr>
  </w:style>
  <w:style w:type="paragraph" w:styleId="23">
    <w:name w:val="index 1"/>
    <w:basedOn w:val="1"/>
    <w:next w:val="1"/>
    <w:semiHidden/>
    <w:qFormat/>
    <w:uiPriority w:val="0"/>
  </w:style>
  <w:style w:type="paragraph" w:styleId="24">
    <w:name w:val="toc 2"/>
    <w:basedOn w:val="1"/>
    <w:next w:val="1"/>
    <w:semiHidden/>
    <w:qFormat/>
    <w:uiPriority w:val="0"/>
    <w:pPr>
      <w:ind w:left="420" w:leftChars="200"/>
    </w:pPr>
  </w:style>
  <w:style w:type="paragraph" w:styleId="25">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4">
    <w:name w:val="标题 2 Char"/>
    <w:link w:val="3"/>
    <w:qFormat/>
    <w:locked/>
    <w:uiPriority w:val="0"/>
    <w:rPr>
      <w:rFonts w:ascii="宋体" w:hAnsi="Arial" w:eastAsia="宋体"/>
      <w:b/>
      <w:bCs/>
      <w:sz w:val="24"/>
      <w:szCs w:val="32"/>
      <w:lang w:val="en-US" w:eastAsia="zh-CN" w:bidi="ar-SA"/>
    </w:rPr>
  </w:style>
  <w:style w:type="character" w:customStyle="1" w:styleId="35">
    <w:name w:val="Normal Indent Char"/>
    <w:qFormat/>
    <w:locked/>
    <w:uiPriority w:val="0"/>
    <w:rPr>
      <w:rFonts w:ascii="Times New Roman" w:hAnsi="Times New Roman" w:eastAsia="宋体"/>
      <w:kern w:val="0"/>
      <w:sz w:val="20"/>
    </w:rPr>
  </w:style>
  <w:style w:type="character" w:customStyle="1" w:styleId="36">
    <w:name w:val="正文缩进 Char"/>
    <w:link w:val="9"/>
    <w:qFormat/>
    <w:uiPriority w:val="0"/>
    <w:rPr>
      <w:rFonts w:ascii="宋体" w:eastAsia="宋体"/>
      <w:snapToGrid w:val="0"/>
      <w:color w:val="000000"/>
      <w:sz w:val="21"/>
      <w:lang w:val="en-US" w:eastAsia="zh-CN" w:bidi="ar-SA"/>
    </w:rPr>
  </w:style>
  <w:style w:type="character" w:customStyle="1" w:styleId="37">
    <w:name w:val="font01"/>
    <w:qFormat/>
    <w:uiPriority w:val="0"/>
    <w:rPr>
      <w:rFonts w:hint="eastAsia" w:ascii="宋体" w:hAnsi="宋体" w:eastAsia="宋体" w:cs="宋体"/>
      <w:color w:val="000000"/>
      <w:sz w:val="24"/>
      <w:szCs w:val="24"/>
      <w:u w:val="none"/>
    </w:rPr>
  </w:style>
  <w:style w:type="character" w:customStyle="1" w:styleId="38">
    <w:name w:val="标题 1 Char"/>
    <w:link w:val="2"/>
    <w:qFormat/>
    <w:locked/>
    <w:uiPriority w:val="0"/>
    <w:rPr>
      <w:rFonts w:eastAsia="宋体"/>
      <w:b/>
      <w:bCs/>
      <w:kern w:val="44"/>
      <w:sz w:val="44"/>
      <w:szCs w:val="44"/>
      <w:lang w:val="en-US" w:eastAsia="zh-CN" w:bidi="ar-SA"/>
    </w:rPr>
  </w:style>
  <w:style w:type="character" w:customStyle="1" w:styleId="39">
    <w:name w:val="纯文本 Char"/>
    <w:link w:val="15"/>
    <w:qFormat/>
    <w:uiPriority w:val="0"/>
    <w:rPr>
      <w:rFonts w:ascii="宋体" w:hAnsi="Courier New" w:eastAsia="宋体"/>
      <w:kern w:val="2"/>
      <w:sz w:val="21"/>
      <w:lang w:val="en-US" w:eastAsia="zh-CN" w:bidi="ar-SA"/>
    </w:rPr>
  </w:style>
  <w:style w:type="character" w:customStyle="1" w:styleId="40">
    <w:name w:val="style81"/>
    <w:qFormat/>
    <w:uiPriority w:val="0"/>
    <w:rPr>
      <w:sz w:val="21"/>
      <w:szCs w:val="21"/>
    </w:rPr>
  </w:style>
  <w:style w:type="character" w:customStyle="1" w:styleId="41">
    <w:name w:val="Plain Text Char"/>
    <w:qFormat/>
    <w:locked/>
    <w:uiPriority w:val="0"/>
    <w:rPr>
      <w:rFonts w:ascii="宋体" w:hAnsi="Courier New" w:eastAsia="宋体"/>
      <w:kern w:val="0"/>
      <w:sz w:val="21"/>
    </w:rPr>
  </w:style>
  <w:style w:type="character" w:customStyle="1" w:styleId="42">
    <w:name w:val="文档结构图 Char"/>
    <w:link w:val="12"/>
    <w:qFormat/>
    <w:uiPriority w:val="0"/>
    <w:rPr>
      <w:rFonts w:ascii="宋体"/>
      <w:sz w:val="18"/>
      <w:szCs w:val="18"/>
      <w:lang w:bidi="ar-SA"/>
    </w:rPr>
  </w:style>
  <w:style w:type="character" w:customStyle="1" w:styleId="43">
    <w:name w:val="正文文本 3 Char"/>
    <w:link w:val="13"/>
    <w:qFormat/>
    <w:uiPriority w:val="0"/>
    <w:rPr>
      <w:rFonts w:eastAsia="宋体"/>
      <w:sz w:val="16"/>
      <w:szCs w:val="16"/>
      <w:lang w:val="en-US" w:eastAsia="zh-CN" w:bidi="ar-SA"/>
    </w:rPr>
  </w:style>
  <w:style w:type="character" w:customStyle="1" w:styleId="44">
    <w:name w:val="标题 3 Char"/>
    <w:link w:val="4"/>
    <w:qFormat/>
    <w:uiPriority w:val="0"/>
    <w:rPr>
      <w:rFonts w:ascii="宋体" w:eastAsia="宋体"/>
      <w:sz w:val="21"/>
      <w:lang w:val="en-US" w:eastAsia="zh-CN" w:bidi="ar-SA"/>
    </w:rPr>
  </w:style>
  <w:style w:type="character" w:customStyle="1" w:styleId="45">
    <w:name w:val="页脚 Char"/>
    <w:link w:val="19"/>
    <w:qFormat/>
    <w:locked/>
    <w:uiPriority w:val="0"/>
    <w:rPr>
      <w:rFonts w:eastAsia="宋体"/>
      <w:sz w:val="18"/>
      <w:szCs w:val="18"/>
      <w:lang w:val="en-US" w:eastAsia="zh-CN" w:bidi="ar-SA"/>
    </w:rPr>
  </w:style>
  <w:style w:type="character" w:customStyle="1" w:styleId="46">
    <w:name w:val="Header Char"/>
    <w:qFormat/>
    <w:locked/>
    <w:uiPriority w:val="0"/>
    <w:rPr>
      <w:rFonts w:cs="Times New Roman"/>
      <w:sz w:val="18"/>
      <w:szCs w:val="18"/>
    </w:rPr>
  </w:style>
  <w:style w:type="character" w:customStyle="1" w:styleId="47">
    <w:name w:val="页眉 Char"/>
    <w:link w:val="20"/>
    <w:qFormat/>
    <w:uiPriority w:val="0"/>
    <w:rPr>
      <w:rFonts w:eastAsia="宋体"/>
      <w:sz w:val="18"/>
      <w:szCs w:val="18"/>
      <w:lang w:val="en-US" w:eastAsia="zh-CN" w:bidi="ar-SA"/>
    </w:rPr>
  </w:style>
  <w:style w:type="paragraph" w:customStyle="1" w:styleId="48">
    <w:name w:val="_Style 10"/>
    <w:basedOn w:val="1"/>
    <w:qFormat/>
    <w:uiPriority w:val="0"/>
    <w:pPr>
      <w:spacing w:after="160" w:line="240" w:lineRule="exact"/>
    </w:pPr>
    <w:rPr>
      <w:rFonts w:ascii="Verdana" w:hAnsi="Verdana"/>
      <w:lang w:eastAsia="en-US"/>
    </w:rPr>
  </w:style>
  <w:style w:type="paragraph" w:customStyle="1" w:styleId="49">
    <w:name w:val="0段落文字"/>
    <w:basedOn w:val="1"/>
    <w:qFormat/>
    <w:uiPriority w:val="0"/>
    <w:pPr>
      <w:spacing w:line="360" w:lineRule="auto"/>
      <w:ind w:firstLine="200" w:firstLineChars="200"/>
    </w:pPr>
    <w:rPr>
      <w:sz w:val="24"/>
      <w:szCs w:val="21"/>
    </w:rPr>
  </w:style>
  <w:style w:type="paragraph" w:customStyle="1" w:styleId="50">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1">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2">
    <w:name w:val="_正文段落"/>
    <w:basedOn w:val="1"/>
    <w:qFormat/>
    <w:uiPriority w:val="0"/>
    <w:pPr>
      <w:spacing w:line="360" w:lineRule="auto"/>
      <w:ind w:firstLine="480" w:firstLineChars="200"/>
    </w:pPr>
    <w:rPr>
      <w:rFonts w:ascii="宋体" w:hAnsi="宋体"/>
      <w:sz w:val="24"/>
    </w:rPr>
  </w:style>
  <w:style w:type="paragraph" w:customStyle="1" w:styleId="53">
    <w:name w:val="列出段落1"/>
    <w:basedOn w:val="1"/>
    <w:qFormat/>
    <w:uiPriority w:val="0"/>
    <w:pPr>
      <w:widowControl w:val="0"/>
      <w:ind w:firstLine="420" w:firstLineChars="200"/>
      <w:jc w:val="both"/>
    </w:pPr>
    <w:rPr>
      <w:rFonts w:ascii="Calibri" w:hAnsi="Calibri"/>
      <w:kern w:val="2"/>
      <w:szCs w:val="22"/>
    </w:rPr>
  </w:style>
  <w:style w:type="paragraph" w:customStyle="1" w:styleId="54">
    <w:name w:val="表格文字"/>
    <w:basedOn w:val="1"/>
    <w:qFormat/>
    <w:uiPriority w:val="0"/>
    <w:pPr>
      <w:widowControl w:val="0"/>
      <w:spacing w:before="25" w:after="25"/>
    </w:pPr>
    <w:rPr>
      <w:bCs/>
      <w:spacing w:val="10"/>
      <w:sz w:val="24"/>
    </w:rPr>
  </w:style>
  <w:style w:type="paragraph" w:customStyle="1" w:styleId="55">
    <w:name w:val="Char1"/>
    <w:basedOn w:val="1"/>
    <w:qFormat/>
    <w:uiPriority w:val="0"/>
    <w:pPr>
      <w:spacing w:after="160" w:line="240" w:lineRule="exact"/>
    </w:pPr>
    <w:rPr>
      <w:rFonts w:ascii="Verdana" w:hAnsi="Verdana"/>
      <w:lang w:eastAsia="en-US"/>
    </w:rPr>
  </w:style>
  <w:style w:type="paragraph" w:customStyle="1" w:styleId="56">
    <w:name w:val="Char Char Char"/>
    <w:basedOn w:val="1"/>
    <w:qFormat/>
    <w:uiPriority w:val="0"/>
    <w:pPr>
      <w:widowControl w:val="0"/>
      <w:jc w:val="both"/>
    </w:pPr>
    <w:rPr>
      <w:rFonts w:ascii="Tahoma" w:hAnsi="Tahoma"/>
      <w:kern w:val="2"/>
      <w:sz w:val="24"/>
    </w:rPr>
  </w:style>
  <w:style w:type="paragraph" w:customStyle="1" w:styleId="57">
    <w:name w:val="题注5"/>
    <w:basedOn w:val="1"/>
    <w:next w:val="11"/>
    <w:qFormat/>
    <w:uiPriority w:val="0"/>
    <w:pPr>
      <w:widowControl w:val="0"/>
      <w:jc w:val="center"/>
    </w:pPr>
    <w:rPr>
      <w:b/>
      <w:color w:val="000000"/>
      <w:kern w:val="2"/>
      <w:sz w:val="24"/>
      <w:szCs w:val="21"/>
    </w:rPr>
  </w:style>
  <w:style w:type="paragraph" w:customStyle="1" w:styleId="58">
    <w:name w:val="列出段落2"/>
    <w:basedOn w:val="1"/>
    <w:qFormat/>
    <w:uiPriority w:val="0"/>
    <w:pPr>
      <w:widowControl w:val="0"/>
      <w:ind w:firstLine="420" w:firstLineChars="200"/>
      <w:jc w:val="both"/>
    </w:pPr>
    <w:rPr>
      <w:rFonts w:ascii="Calibri" w:hAnsi="Calibri"/>
      <w:kern w:val="2"/>
      <w:szCs w:val="22"/>
    </w:rPr>
  </w:style>
  <w:style w:type="paragraph" w:customStyle="1" w:styleId="59">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0">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1">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2">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3">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5">
    <w:name w:val="List Paragraph"/>
    <w:basedOn w:val="1"/>
    <w:qFormat/>
    <w:uiPriority w:val="0"/>
    <w:pPr>
      <w:ind w:firstLine="420" w:firstLineChars="200"/>
    </w:pPr>
  </w:style>
  <w:style w:type="paragraph" w:customStyle="1" w:styleId="6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8">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14</TotalTime>
  <ScaleCrop>false</ScaleCrop>
  <LinksUpToDate>false</LinksUpToDate>
  <CharactersWithSpaces>48133</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2017-08-25T03:24:00Z</cp:lastPrinted>
  <dcterms:modified xsi:type="dcterms:W3CDTF">2018-11-09T07:12:02Z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