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宋体" w:hAnsi="宋体"/>
          <w:b/>
          <w:color w:val="auto"/>
          <w:spacing w:val="20"/>
          <w:kern w:val="10"/>
          <w:sz w:val="48"/>
          <w:szCs w:val="48"/>
        </w:rPr>
      </w:pPr>
      <w:r>
        <w:rPr>
          <w:rFonts w:hint="eastAsia" w:ascii="宋体" w:hAnsi="宋体"/>
          <w:b/>
          <w:color w:val="auto"/>
          <w:sz w:val="44"/>
          <w:szCs w:val="44"/>
          <w:lang w:eastAsia="zh-CN"/>
        </w:rPr>
        <w:t>郁南县财政局工程造价咨询定点服务项目</w:t>
      </w:r>
    </w:p>
    <w:p>
      <w:pPr>
        <w:snapToGrid w:val="0"/>
        <w:jc w:val="center"/>
        <w:rPr>
          <w:rFonts w:ascii="宋体" w:hAnsi="宋体"/>
          <w:b/>
          <w:color w:val="auto"/>
          <w:spacing w:val="20"/>
          <w:kern w:val="10"/>
          <w:sz w:val="48"/>
          <w:szCs w:val="48"/>
        </w:rPr>
      </w:pPr>
    </w:p>
    <w:p>
      <w:pPr>
        <w:spacing w:line="1200" w:lineRule="auto"/>
        <w:jc w:val="center"/>
        <w:rPr>
          <w:rFonts w:ascii="宋体" w:hAnsi="宋体"/>
          <w:color w:val="auto"/>
          <w:spacing w:val="26"/>
          <w:sz w:val="84"/>
          <w:szCs w:val="84"/>
        </w:rPr>
      </w:pPr>
      <w:r>
        <w:rPr>
          <w:rFonts w:hint="eastAsia" w:ascii="宋体" w:hAnsi="宋体"/>
          <w:color w:val="auto"/>
          <w:spacing w:val="26"/>
          <w:sz w:val="84"/>
          <w:szCs w:val="84"/>
        </w:rPr>
        <w:t>磋</w:t>
      </w:r>
    </w:p>
    <w:p>
      <w:pPr>
        <w:spacing w:line="1200" w:lineRule="auto"/>
        <w:jc w:val="center"/>
        <w:rPr>
          <w:rFonts w:ascii="宋体" w:hAnsi="宋体"/>
          <w:color w:val="auto"/>
          <w:spacing w:val="26"/>
          <w:sz w:val="84"/>
          <w:szCs w:val="84"/>
        </w:rPr>
      </w:pPr>
      <w:r>
        <w:rPr>
          <w:rFonts w:hint="eastAsia" w:ascii="宋体" w:hAnsi="宋体"/>
          <w:color w:val="auto"/>
          <w:spacing w:val="26"/>
          <w:sz w:val="84"/>
          <w:szCs w:val="84"/>
        </w:rPr>
        <w:t>商</w:t>
      </w:r>
    </w:p>
    <w:p>
      <w:pPr>
        <w:spacing w:line="1200" w:lineRule="auto"/>
        <w:jc w:val="center"/>
        <w:rPr>
          <w:rFonts w:ascii="宋体" w:hAnsi="宋体"/>
          <w:color w:val="auto"/>
          <w:spacing w:val="26"/>
          <w:sz w:val="84"/>
          <w:szCs w:val="84"/>
        </w:rPr>
      </w:pPr>
      <w:r>
        <w:rPr>
          <w:rFonts w:hint="eastAsia" w:ascii="宋体" w:hAnsi="宋体"/>
          <w:color w:val="auto"/>
          <w:spacing w:val="26"/>
          <w:sz w:val="84"/>
          <w:szCs w:val="84"/>
        </w:rPr>
        <w:t>文</w:t>
      </w:r>
    </w:p>
    <w:p>
      <w:pPr>
        <w:spacing w:line="1200" w:lineRule="auto"/>
        <w:jc w:val="center"/>
        <w:rPr>
          <w:rFonts w:ascii="宋体" w:hAnsi="宋体"/>
          <w:color w:val="auto"/>
          <w:spacing w:val="26"/>
          <w:sz w:val="84"/>
          <w:szCs w:val="84"/>
        </w:rPr>
      </w:pPr>
      <w:r>
        <w:rPr>
          <w:rFonts w:hint="eastAsia" w:ascii="宋体" w:hAnsi="宋体"/>
          <w:color w:val="auto"/>
          <w:spacing w:val="26"/>
          <w:sz w:val="84"/>
          <w:szCs w:val="84"/>
        </w:rPr>
        <w:t>件</w:t>
      </w:r>
    </w:p>
    <w:p>
      <w:pPr>
        <w:snapToGrid w:val="0"/>
        <w:jc w:val="center"/>
        <w:rPr>
          <w:rFonts w:ascii="宋体" w:hAnsi="宋体"/>
          <w:b/>
          <w:color w:val="auto"/>
          <w:spacing w:val="20"/>
          <w:kern w:val="10"/>
          <w:sz w:val="52"/>
          <w:szCs w:val="52"/>
        </w:rPr>
      </w:pPr>
    </w:p>
    <w:p>
      <w:pPr>
        <w:jc w:val="center"/>
        <w:rPr>
          <w:rFonts w:ascii="宋体" w:hAnsi="宋体"/>
          <w:b/>
          <w:color w:val="auto"/>
          <w:sz w:val="30"/>
          <w:szCs w:val="30"/>
        </w:rPr>
      </w:pPr>
      <w:r>
        <w:rPr>
          <w:rFonts w:hint="eastAsia" w:ascii="宋体" w:hAnsi="宋体"/>
          <w:b/>
          <w:color w:val="auto"/>
          <w:sz w:val="30"/>
          <w:szCs w:val="30"/>
        </w:rPr>
        <w:t>采购编号：</w:t>
      </w:r>
      <w:r>
        <w:rPr>
          <w:rFonts w:hint="eastAsia" w:ascii="宋体" w:hAnsi="宋体"/>
          <w:b/>
          <w:color w:val="auto"/>
          <w:sz w:val="30"/>
          <w:szCs w:val="30"/>
          <w:lang w:eastAsia="zh-CN"/>
        </w:rPr>
        <w:t>GDXJ18FCS1005</w:t>
      </w:r>
    </w:p>
    <w:p>
      <w:pPr>
        <w:spacing w:line="360" w:lineRule="auto"/>
        <w:jc w:val="center"/>
        <w:textAlignment w:val="top"/>
        <w:rPr>
          <w:rFonts w:ascii="宋体" w:hAnsi="宋体"/>
          <w:b/>
          <w:color w:val="auto"/>
          <w:spacing w:val="100"/>
          <w:sz w:val="32"/>
          <w:szCs w:val="32"/>
        </w:rPr>
      </w:pPr>
      <w:r>
        <w:rPr>
          <w:rFonts w:hint="eastAsia" w:ascii="宋体" w:hAnsi="宋体"/>
          <w:b/>
          <w:color w:val="auto"/>
          <w:spacing w:val="100"/>
          <w:sz w:val="32"/>
          <w:szCs w:val="32"/>
        </w:rPr>
        <w:t>广东晓君招标采购代理有限公司</w:t>
      </w:r>
    </w:p>
    <w:p>
      <w:pPr>
        <w:pStyle w:val="15"/>
        <w:jc w:val="center"/>
        <w:rPr>
          <w:rFonts w:ascii="宋体" w:hAnsi="宋体"/>
          <w:b/>
          <w:color w:val="auto"/>
          <w:spacing w:val="40"/>
          <w:sz w:val="36"/>
          <w:szCs w:val="36"/>
        </w:rPr>
      </w:pPr>
      <w:r>
        <w:rPr>
          <w:rFonts w:hint="eastAsia" w:ascii="宋体" w:hAnsi="宋体"/>
          <w:b/>
          <w:color w:val="auto"/>
          <w:spacing w:val="40"/>
          <w:sz w:val="36"/>
          <w:szCs w:val="36"/>
        </w:rPr>
        <w:t>201</w:t>
      </w:r>
      <w:r>
        <w:rPr>
          <w:rFonts w:hint="eastAsia" w:ascii="宋体" w:hAnsi="宋体"/>
          <w:b/>
          <w:color w:val="auto"/>
          <w:spacing w:val="40"/>
          <w:sz w:val="36"/>
          <w:szCs w:val="36"/>
          <w:lang w:val="en-US" w:eastAsia="zh-CN"/>
        </w:rPr>
        <w:t>8</w:t>
      </w:r>
      <w:r>
        <w:rPr>
          <w:rFonts w:hint="eastAsia" w:ascii="宋体" w:hAnsi="宋体"/>
          <w:b/>
          <w:color w:val="auto"/>
          <w:spacing w:val="40"/>
          <w:sz w:val="36"/>
          <w:szCs w:val="36"/>
        </w:rPr>
        <w:t>年</w:t>
      </w:r>
      <w:r>
        <w:rPr>
          <w:rFonts w:hint="eastAsia" w:ascii="宋体" w:hAnsi="宋体"/>
          <w:b/>
          <w:color w:val="auto"/>
          <w:spacing w:val="40"/>
          <w:sz w:val="36"/>
          <w:szCs w:val="36"/>
          <w:lang w:val="en-US" w:eastAsia="zh-CN"/>
        </w:rPr>
        <w:t>2</w:t>
      </w:r>
      <w:r>
        <w:rPr>
          <w:rFonts w:hint="eastAsia" w:ascii="宋体" w:hAnsi="宋体"/>
          <w:b/>
          <w:color w:val="auto"/>
          <w:spacing w:val="40"/>
          <w:sz w:val="36"/>
          <w:szCs w:val="36"/>
        </w:rPr>
        <w:t>月</w:t>
      </w:r>
    </w:p>
    <w:p>
      <w:pPr>
        <w:spacing w:line="360" w:lineRule="auto"/>
        <w:jc w:val="center"/>
        <w:rPr>
          <w:rFonts w:ascii="华文新魏" w:eastAsia="华文新魏"/>
          <w:b/>
          <w:color w:val="auto"/>
          <w:sz w:val="44"/>
        </w:rPr>
      </w:pPr>
    </w:p>
    <w:p>
      <w:pPr>
        <w:spacing w:line="360" w:lineRule="auto"/>
        <w:jc w:val="center"/>
        <w:rPr>
          <w:rFonts w:ascii="华文新魏" w:eastAsia="华文新魏"/>
          <w:b/>
          <w:color w:val="auto"/>
          <w:sz w:val="44"/>
        </w:rPr>
      </w:pPr>
    </w:p>
    <w:p>
      <w:pPr>
        <w:spacing w:line="360" w:lineRule="auto"/>
        <w:jc w:val="center"/>
        <w:rPr>
          <w:rFonts w:ascii="华文新魏" w:eastAsia="华文新魏"/>
          <w:b/>
          <w:color w:val="auto"/>
          <w:sz w:val="44"/>
        </w:rPr>
      </w:pPr>
    </w:p>
    <w:p>
      <w:pPr>
        <w:spacing w:line="360" w:lineRule="auto"/>
        <w:jc w:val="center"/>
        <w:rPr>
          <w:rFonts w:ascii="华文新魏" w:eastAsia="华文新魏"/>
          <w:b/>
          <w:color w:val="auto"/>
          <w:sz w:val="44"/>
        </w:rPr>
      </w:pPr>
    </w:p>
    <w:p>
      <w:pPr>
        <w:spacing w:line="360" w:lineRule="auto"/>
        <w:jc w:val="center"/>
        <w:rPr>
          <w:rFonts w:ascii="华文新魏" w:eastAsia="华文新魏"/>
          <w:b/>
          <w:color w:val="auto"/>
          <w:sz w:val="44"/>
        </w:rPr>
      </w:pPr>
    </w:p>
    <w:p>
      <w:pPr>
        <w:spacing w:line="360" w:lineRule="auto"/>
        <w:jc w:val="center"/>
        <w:rPr>
          <w:rFonts w:ascii="华文新魏" w:eastAsia="华文新魏"/>
          <w:b/>
          <w:color w:val="auto"/>
          <w:sz w:val="44"/>
        </w:rPr>
      </w:pPr>
    </w:p>
    <w:p>
      <w:pPr>
        <w:spacing w:line="360" w:lineRule="auto"/>
        <w:jc w:val="center"/>
        <w:rPr>
          <w:rFonts w:ascii="宋体" w:hAnsi="宋体"/>
          <w:b/>
          <w:color w:val="auto"/>
          <w:sz w:val="44"/>
        </w:rPr>
      </w:pPr>
      <w:r>
        <w:rPr>
          <w:rFonts w:hint="eastAsia" w:ascii="宋体" w:hAnsi="宋体"/>
          <w:b/>
          <w:color w:val="auto"/>
          <w:sz w:val="44"/>
        </w:rPr>
        <w:t>目   录</w:t>
      </w:r>
    </w:p>
    <w:p>
      <w:pPr>
        <w:spacing w:line="360" w:lineRule="auto"/>
        <w:rPr>
          <w:rFonts w:ascii="宋体" w:hAnsi="宋体"/>
          <w:b/>
          <w:color w:val="auto"/>
          <w:sz w:val="44"/>
        </w:rPr>
      </w:pPr>
    </w:p>
    <w:p>
      <w:pPr>
        <w:spacing w:line="360" w:lineRule="auto"/>
        <w:rPr>
          <w:rFonts w:ascii="宋体" w:hAnsi="宋体"/>
          <w:color w:val="auto"/>
          <w:sz w:val="30"/>
          <w:szCs w:val="30"/>
        </w:rPr>
      </w:pPr>
      <w:r>
        <w:rPr>
          <w:rFonts w:hint="eastAsia" w:ascii="宋体" w:hAnsi="宋体"/>
          <w:color w:val="auto"/>
          <w:sz w:val="30"/>
          <w:szCs w:val="30"/>
        </w:rPr>
        <w:t>第一部分:报价邀请函………………………………………………1-1</w:t>
      </w:r>
    </w:p>
    <w:p>
      <w:pPr>
        <w:spacing w:line="360" w:lineRule="auto"/>
        <w:rPr>
          <w:rFonts w:ascii="宋体" w:hAnsi="宋体"/>
          <w:color w:val="auto"/>
          <w:sz w:val="30"/>
          <w:szCs w:val="30"/>
        </w:rPr>
      </w:pPr>
    </w:p>
    <w:p>
      <w:pPr>
        <w:spacing w:line="360" w:lineRule="auto"/>
        <w:rPr>
          <w:rFonts w:ascii="宋体" w:hAnsi="宋体"/>
          <w:color w:val="auto"/>
          <w:sz w:val="30"/>
          <w:szCs w:val="30"/>
        </w:rPr>
      </w:pPr>
      <w:r>
        <w:rPr>
          <w:rFonts w:hint="eastAsia" w:ascii="宋体" w:hAnsi="宋体"/>
          <w:color w:val="auto"/>
          <w:sz w:val="30"/>
          <w:szCs w:val="30"/>
        </w:rPr>
        <w:t>第二部分:报价人须知………………………………………………2-1</w:t>
      </w:r>
    </w:p>
    <w:p>
      <w:pPr>
        <w:spacing w:line="360" w:lineRule="auto"/>
        <w:rPr>
          <w:rFonts w:ascii="宋体" w:hAnsi="宋体"/>
          <w:color w:val="auto"/>
          <w:sz w:val="30"/>
          <w:szCs w:val="30"/>
        </w:rPr>
      </w:pPr>
    </w:p>
    <w:p>
      <w:pPr>
        <w:spacing w:line="360" w:lineRule="auto"/>
        <w:rPr>
          <w:rFonts w:ascii="宋体" w:hAnsi="宋体"/>
          <w:color w:val="auto"/>
          <w:sz w:val="30"/>
          <w:szCs w:val="30"/>
        </w:rPr>
      </w:pPr>
      <w:r>
        <w:rPr>
          <w:rFonts w:hint="eastAsia" w:ascii="宋体" w:hAnsi="宋体"/>
          <w:color w:val="auto"/>
          <w:sz w:val="30"/>
          <w:szCs w:val="30"/>
        </w:rPr>
        <w:t>第三部分:用户需求书………………………………………………3-1</w:t>
      </w:r>
    </w:p>
    <w:p>
      <w:pPr>
        <w:spacing w:line="360" w:lineRule="auto"/>
        <w:rPr>
          <w:rFonts w:ascii="宋体" w:hAnsi="宋体"/>
          <w:color w:val="auto"/>
          <w:sz w:val="30"/>
          <w:szCs w:val="30"/>
        </w:rPr>
      </w:pPr>
    </w:p>
    <w:p>
      <w:pPr>
        <w:spacing w:line="360" w:lineRule="auto"/>
        <w:rPr>
          <w:rFonts w:ascii="宋体" w:hAnsi="宋体"/>
          <w:color w:val="auto"/>
          <w:sz w:val="30"/>
          <w:szCs w:val="30"/>
        </w:rPr>
      </w:pPr>
      <w:r>
        <w:rPr>
          <w:rFonts w:hint="eastAsia" w:ascii="宋体" w:hAnsi="宋体"/>
          <w:color w:val="auto"/>
          <w:sz w:val="30"/>
          <w:szCs w:val="30"/>
        </w:rPr>
        <w:t>第四部分:合同条款…………………………………………………4-1</w:t>
      </w:r>
    </w:p>
    <w:p>
      <w:pPr>
        <w:spacing w:line="360" w:lineRule="auto"/>
        <w:rPr>
          <w:rFonts w:ascii="宋体" w:hAnsi="宋体"/>
          <w:color w:val="auto"/>
          <w:sz w:val="30"/>
          <w:szCs w:val="30"/>
        </w:rPr>
      </w:pPr>
    </w:p>
    <w:p>
      <w:pPr>
        <w:spacing w:line="360" w:lineRule="auto"/>
        <w:rPr>
          <w:rFonts w:ascii="宋体" w:hAnsi="宋体"/>
          <w:color w:val="auto"/>
          <w:sz w:val="30"/>
          <w:szCs w:val="30"/>
        </w:rPr>
        <w:sectPr>
          <w:pgSz w:w="11906" w:h="16838"/>
          <w:pgMar w:top="1440" w:right="1588" w:bottom="1440" w:left="1588" w:header="851" w:footer="992" w:gutter="0"/>
          <w:cols w:space="720" w:num="1"/>
          <w:docGrid w:type="lines" w:linePitch="312" w:charSpace="0"/>
        </w:sectPr>
      </w:pPr>
      <w:r>
        <w:rPr>
          <w:rFonts w:hint="eastAsia" w:ascii="宋体" w:hAnsi="宋体"/>
          <w:color w:val="auto"/>
          <w:sz w:val="30"/>
          <w:szCs w:val="30"/>
        </w:rPr>
        <w:t>第五部分:报价文件格式……………………………………………5-1</w:t>
      </w: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480" w:lineRule="exact"/>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第一部分</w:t>
      </w: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磋 商 邀 请 函</w:t>
      </w:r>
    </w:p>
    <w:p>
      <w:pPr>
        <w:spacing w:line="480" w:lineRule="exact"/>
        <w:jc w:val="center"/>
        <w:rPr>
          <w:rFonts w:ascii="宋体"/>
          <w:b/>
          <w:color w:val="auto"/>
          <w:sz w:val="24"/>
        </w:rPr>
      </w:pPr>
    </w:p>
    <w:p>
      <w:pPr>
        <w:spacing w:line="480" w:lineRule="exact"/>
        <w:jc w:val="center"/>
        <w:rPr>
          <w:rFonts w:ascii="宋体"/>
          <w:b/>
          <w:color w:val="auto"/>
          <w:sz w:val="24"/>
        </w:rPr>
      </w:pPr>
    </w:p>
    <w:p>
      <w:pPr>
        <w:spacing w:line="480" w:lineRule="exact"/>
        <w:jc w:val="center"/>
        <w:rPr>
          <w:rFonts w:ascii="宋体"/>
          <w:b/>
          <w:color w:val="auto"/>
          <w:sz w:val="24"/>
        </w:rPr>
      </w:pPr>
    </w:p>
    <w:p>
      <w:pPr>
        <w:spacing w:line="480" w:lineRule="exact"/>
        <w:jc w:val="center"/>
        <w:rPr>
          <w:rFonts w:ascii="宋体"/>
          <w:color w:val="auto"/>
          <w:sz w:val="24"/>
        </w:rPr>
      </w:pPr>
    </w:p>
    <w:p>
      <w:pPr>
        <w:spacing w:line="360" w:lineRule="auto"/>
        <w:rPr>
          <w:rFonts w:ascii="宋体"/>
          <w:color w:val="auto"/>
          <w:sz w:val="24"/>
        </w:rPr>
      </w:pPr>
    </w:p>
    <w:p>
      <w:pPr>
        <w:spacing w:line="360" w:lineRule="auto"/>
        <w:jc w:val="center"/>
        <w:rPr>
          <w:rFonts w:ascii="宋体"/>
          <w:color w:val="auto"/>
          <w:sz w:val="24"/>
        </w:rPr>
      </w:pPr>
    </w:p>
    <w:p>
      <w:pPr>
        <w:tabs>
          <w:tab w:val="left" w:pos="1665"/>
        </w:tabs>
        <w:spacing w:line="360" w:lineRule="auto"/>
        <w:rPr>
          <w:rFonts w:ascii="宋体"/>
          <w:color w:val="auto"/>
          <w:sz w:val="24"/>
        </w:rPr>
      </w:pPr>
    </w:p>
    <w:p>
      <w:pPr>
        <w:spacing w:line="480" w:lineRule="exact"/>
        <w:jc w:val="center"/>
        <w:rPr>
          <w:rFonts w:ascii="宋体"/>
          <w:b/>
          <w:color w:val="auto"/>
          <w:kern w:val="28"/>
          <w:sz w:val="32"/>
        </w:rPr>
      </w:pPr>
      <w:r>
        <w:rPr>
          <w:rFonts w:ascii="宋体"/>
          <w:color w:val="auto"/>
        </w:rPr>
        <w:br w:type="page"/>
      </w:r>
      <w:r>
        <w:rPr>
          <w:rFonts w:hint="eastAsia" w:ascii="宋体"/>
          <w:b/>
          <w:color w:val="auto"/>
          <w:kern w:val="28"/>
          <w:sz w:val="32"/>
        </w:rPr>
        <w:t>磋 商</w:t>
      </w:r>
      <w:r>
        <w:rPr>
          <w:rFonts w:ascii="宋体"/>
          <w:b/>
          <w:color w:val="auto"/>
          <w:kern w:val="28"/>
          <w:sz w:val="32"/>
        </w:rPr>
        <w:t xml:space="preserve"> </w:t>
      </w:r>
      <w:r>
        <w:rPr>
          <w:rFonts w:hint="eastAsia" w:ascii="宋体"/>
          <w:b/>
          <w:color w:val="auto"/>
          <w:kern w:val="28"/>
          <w:sz w:val="32"/>
        </w:rPr>
        <w:t>邀 请 函</w:t>
      </w:r>
    </w:p>
    <w:p>
      <w:pPr>
        <w:snapToGrid w:val="0"/>
        <w:spacing w:before="60" w:line="360" w:lineRule="auto"/>
        <w:rPr>
          <w:rFonts w:ascii="宋体" w:hAnsi="宋体"/>
          <w:color w:val="auto"/>
        </w:rPr>
      </w:pPr>
    </w:p>
    <w:p>
      <w:pPr>
        <w:pStyle w:val="13"/>
        <w:snapToGrid w:val="0"/>
        <w:spacing w:after="0" w:line="480" w:lineRule="exact"/>
        <w:ind w:left="0" w:leftChars="0" w:firstLine="411" w:firstLineChars="196"/>
        <w:rPr>
          <w:rFonts w:ascii="宋体" w:hAnsi="宋体" w:cs="Tahoma"/>
          <w:color w:val="auto"/>
          <w:kern w:val="28"/>
        </w:rPr>
      </w:pPr>
      <w:r>
        <w:rPr>
          <w:rFonts w:hint="eastAsia" w:ascii="宋体" w:hAnsi="宋体" w:cs="Tahoma"/>
          <w:color w:val="auto"/>
        </w:rPr>
        <w:t>广东晓君招标采购代理有限公司</w:t>
      </w:r>
      <w:r>
        <w:rPr>
          <w:rFonts w:ascii="宋体" w:hAnsi="宋体" w:cs="Tahoma"/>
          <w:color w:val="auto"/>
        </w:rPr>
        <w:t>（以下简称</w:t>
      </w:r>
      <w:r>
        <w:rPr>
          <w:rFonts w:hint="eastAsia" w:ascii="宋体" w:hAnsi="宋体" w:cs="Tahoma"/>
          <w:color w:val="auto"/>
        </w:rPr>
        <w:t>“采购代理机构”</w:t>
      </w:r>
      <w:r>
        <w:rPr>
          <w:rFonts w:ascii="宋体" w:hAnsi="宋体" w:cs="Tahoma"/>
          <w:color w:val="auto"/>
        </w:rPr>
        <w:t>）受</w:t>
      </w:r>
      <w:r>
        <w:rPr>
          <w:rFonts w:hint="eastAsia" w:ascii="宋体" w:hAnsi="宋体"/>
          <w:iCs/>
          <w:color w:val="auto"/>
          <w:lang w:eastAsia="zh-CN"/>
        </w:rPr>
        <w:t>郁南县财政局</w:t>
      </w:r>
      <w:r>
        <w:rPr>
          <w:rFonts w:ascii="宋体" w:hAnsi="宋体" w:cs="Tahoma"/>
          <w:color w:val="auto"/>
        </w:rPr>
        <w:t>（以下简称“采购人”）的委托，</w:t>
      </w:r>
      <w:r>
        <w:rPr>
          <w:rFonts w:hint="eastAsia" w:ascii="宋体" w:hAnsi="宋体" w:cs="Tahoma"/>
          <w:color w:val="auto"/>
          <w:kern w:val="28"/>
        </w:rPr>
        <w:t>对</w:t>
      </w:r>
      <w:r>
        <w:rPr>
          <w:rFonts w:hint="eastAsia" w:ascii="宋体" w:hAnsi="宋体" w:cs="Tahoma"/>
          <w:color w:val="auto"/>
          <w:kern w:val="28"/>
          <w:lang w:eastAsia="zh-CN"/>
        </w:rPr>
        <w:t>郁南县财政局工程造价咨询定点服务项目</w:t>
      </w:r>
      <w:r>
        <w:rPr>
          <w:rFonts w:hint="eastAsia" w:ascii="宋体" w:hAnsi="宋体" w:cs="Tahoma"/>
          <w:color w:val="auto"/>
          <w:kern w:val="28"/>
        </w:rPr>
        <w:t>（编号：</w:t>
      </w:r>
      <w:r>
        <w:rPr>
          <w:rFonts w:hint="eastAsia" w:ascii="宋体" w:hAnsi="宋体"/>
          <w:color w:val="auto"/>
          <w:lang w:eastAsia="zh-CN"/>
        </w:rPr>
        <w:t>GDXJ18FCS1005</w:t>
      </w:r>
      <w:r>
        <w:rPr>
          <w:rFonts w:hint="eastAsia" w:ascii="宋体" w:hAnsi="宋体" w:cs="Tahoma"/>
          <w:color w:val="auto"/>
          <w:kern w:val="28"/>
        </w:rPr>
        <w:t>）进行</w:t>
      </w:r>
      <w:bookmarkStart w:id="0" w:name="OLE_LINK1"/>
      <w:r>
        <w:rPr>
          <w:rFonts w:hint="eastAsia" w:ascii="宋体" w:hAnsi="宋体" w:cs="Tahoma"/>
          <w:color w:val="auto"/>
          <w:kern w:val="28"/>
        </w:rPr>
        <w:t>竞争性磋商采购</w:t>
      </w:r>
      <w:bookmarkEnd w:id="0"/>
      <w:r>
        <w:rPr>
          <w:rFonts w:hint="eastAsia" w:ascii="宋体" w:hAnsi="宋体" w:cs="Tahoma"/>
          <w:color w:val="auto"/>
          <w:kern w:val="28"/>
        </w:rPr>
        <w:t>，欢迎符合资格条件的供应商参加。</w:t>
      </w:r>
    </w:p>
    <w:p>
      <w:pPr>
        <w:snapToGrid w:val="0"/>
        <w:spacing w:line="480" w:lineRule="exact"/>
        <w:outlineLvl w:val="0"/>
        <w:rPr>
          <w:rFonts w:ascii="宋体" w:hAnsi="宋体" w:cs="Tahoma"/>
          <w:b/>
          <w:color w:val="auto"/>
        </w:rPr>
      </w:pPr>
      <w:r>
        <w:rPr>
          <w:rFonts w:hint="eastAsia" w:ascii="宋体" w:hAnsi="宋体" w:cs="Tahoma"/>
          <w:color w:val="auto"/>
        </w:rPr>
        <w:t>一、磋商项目的</w:t>
      </w:r>
      <w:r>
        <w:rPr>
          <w:rFonts w:hint="eastAsia" w:ascii="宋体" w:hAnsi="宋体"/>
          <w:color w:val="auto"/>
        </w:rPr>
        <w:t>名称、预算金额、用途、数量、简要技术要求或者招标项目的性质</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ascii="宋体" w:hAnsi="宋体"/>
          <w:color w:val="auto"/>
          <w:szCs w:val="21"/>
        </w:rPr>
      </w:pPr>
      <w:r>
        <w:rPr>
          <w:rFonts w:hint="eastAsia" w:ascii="宋体" w:hAnsi="宋体" w:cs="Tahoma"/>
          <w:color w:val="auto"/>
          <w:kern w:val="28"/>
        </w:rPr>
        <w:t>1、项目名称：</w:t>
      </w:r>
      <w:r>
        <w:rPr>
          <w:rFonts w:hint="eastAsia" w:ascii="宋体" w:hAnsi="宋体"/>
          <w:color w:val="auto"/>
          <w:szCs w:val="21"/>
          <w:lang w:eastAsia="zh-CN"/>
        </w:rPr>
        <w:t>郁南县财政局工程造价咨询定点服务项目</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ascii="宋体" w:hAnsi="宋体"/>
          <w:color w:val="auto"/>
          <w:szCs w:val="21"/>
          <w:lang w:val="en-US" w:eastAsia="zh-CN"/>
        </w:rPr>
      </w:pPr>
      <w:r>
        <w:rPr>
          <w:rFonts w:hint="eastAsia" w:ascii="宋体" w:hAnsi="宋体"/>
          <w:color w:val="auto"/>
          <w:szCs w:val="21"/>
        </w:rPr>
        <w:t>2、</w:t>
      </w:r>
      <w:r>
        <w:rPr>
          <w:rFonts w:hint="eastAsia" w:ascii="宋体" w:hAnsi="宋体"/>
          <w:color w:val="auto"/>
          <w:szCs w:val="21"/>
          <w:lang w:eastAsia="zh-CN"/>
        </w:rPr>
        <w:t>项目类别</w:t>
      </w:r>
      <w:r>
        <w:rPr>
          <w:rFonts w:hint="eastAsia" w:ascii="宋体" w:hAnsi="宋体"/>
          <w:color w:val="auto"/>
          <w:szCs w:val="21"/>
        </w:rPr>
        <w:t>：</w:t>
      </w:r>
      <w:r>
        <w:rPr>
          <w:rFonts w:hint="eastAsia" w:ascii="宋体" w:hAnsi="宋体"/>
          <w:color w:val="auto"/>
          <w:szCs w:val="21"/>
          <w:lang w:val="en-US" w:eastAsia="zh-CN"/>
        </w:rPr>
        <w:t>服务类，</w:t>
      </w:r>
      <w:r>
        <w:rPr>
          <w:rFonts w:hint="eastAsia"/>
          <w:color w:val="auto"/>
        </w:rPr>
        <w:t>采购本国</w:t>
      </w:r>
      <w:r>
        <w:rPr>
          <w:rFonts w:hint="eastAsia"/>
          <w:color w:val="auto"/>
          <w:lang w:val="en-US" w:eastAsia="zh-CN"/>
        </w:rPr>
        <w:t>服务。</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ascii="宋体" w:hAnsi="宋体" w:cs="Tahoma"/>
          <w:color w:val="auto"/>
          <w:kern w:val="28"/>
        </w:rPr>
      </w:pPr>
      <w:r>
        <w:rPr>
          <w:rFonts w:hint="eastAsia" w:ascii="宋体" w:hAnsi="宋体" w:cs="Tahoma"/>
          <w:color w:val="auto"/>
          <w:kern w:val="28"/>
          <w:lang w:val="en-US" w:eastAsia="zh-CN"/>
        </w:rPr>
        <w:t>3</w:t>
      </w:r>
      <w:r>
        <w:rPr>
          <w:rFonts w:hint="eastAsia" w:ascii="宋体" w:hAnsi="宋体" w:cs="Tahoma"/>
          <w:color w:val="auto"/>
          <w:kern w:val="28"/>
        </w:rPr>
        <w:t>、项目数量：一项（详见用户需求书）</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ascii="宋体" w:hAnsi="宋体" w:cs="Arial"/>
          <w:color w:val="auto"/>
        </w:rPr>
      </w:pPr>
      <w:r>
        <w:rPr>
          <w:rFonts w:hint="eastAsia" w:ascii="宋体" w:hAnsi="宋体" w:cs="Tahoma"/>
          <w:color w:val="auto"/>
          <w:kern w:val="28"/>
          <w:lang w:val="en-US" w:eastAsia="zh-CN"/>
        </w:rPr>
        <w:t>4</w:t>
      </w:r>
      <w:r>
        <w:rPr>
          <w:rFonts w:hint="eastAsia" w:ascii="宋体" w:hAnsi="宋体" w:cs="Tahoma"/>
          <w:color w:val="auto"/>
          <w:kern w:val="28"/>
        </w:rPr>
        <w:t>、</w:t>
      </w:r>
      <w:r>
        <w:rPr>
          <w:rFonts w:hint="eastAsia" w:ascii="宋体" w:hAnsi="宋体" w:cs="Tahoma"/>
          <w:color w:val="auto"/>
          <w:kern w:val="28"/>
          <w:lang w:val="en-US" w:eastAsia="zh-CN"/>
        </w:rPr>
        <w:t>用途</w:t>
      </w:r>
      <w:r>
        <w:rPr>
          <w:rFonts w:hint="eastAsia" w:ascii="宋体" w:hAnsi="宋体" w:cs="Tahoma"/>
          <w:color w:val="auto"/>
          <w:kern w:val="28"/>
        </w:rPr>
        <w:t>：</w:t>
      </w:r>
      <w:r>
        <w:rPr>
          <w:rFonts w:hint="eastAsia" w:ascii="宋体" w:hAnsi="宋体" w:cs="Arial"/>
          <w:color w:val="auto"/>
        </w:rPr>
        <w:t>详见用户需求书。</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color w:val="auto"/>
        </w:rPr>
      </w:pPr>
      <w:r>
        <w:rPr>
          <w:rFonts w:hint="eastAsia" w:ascii="宋体" w:hAnsi="宋体" w:cs="Tahoma"/>
          <w:color w:val="auto"/>
          <w:kern w:val="28"/>
          <w:szCs w:val="21"/>
        </w:rPr>
        <w:t>5、</w:t>
      </w:r>
      <w:r>
        <w:rPr>
          <w:rFonts w:hint="eastAsia"/>
          <w:color w:val="auto"/>
        </w:rPr>
        <w:t>项</w:t>
      </w:r>
      <w:r>
        <w:rPr>
          <w:rFonts w:hint="eastAsia"/>
          <w:color w:val="auto"/>
        </w:rPr>
        <w:t>目内容及需求(</w:t>
      </w:r>
      <w:r>
        <w:rPr>
          <w:rFonts w:hint="eastAsia" w:ascii="宋体" w:hAnsi="宋体"/>
          <w:bCs/>
          <w:color w:val="auto"/>
          <w:szCs w:val="21"/>
        </w:rPr>
        <w:t>中标人受理委托报酬计费</w:t>
      </w:r>
      <w:r>
        <w:rPr>
          <w:rFonts w:hint="eastAsia"/>
          <w:color w:val="auto"/>
        </w:rPr>
        <w:t>、</w:t>
      </w:r>
      <w:r>
        <w:rPr>
          <w:rFonts w:hint="eastAsia" w:ascii="宋体" w:hAnsi="宋体"/>
          <w:color w:val="auto"/>
          <w:szCs w:val="21"/>
        </w:rPr>
        <w:t>招标项目内容</w:t>
      </w:r>
      <w:r>
        <w:rPr>
          <w:rFonts w:hint="eastAsia" w:ascii="宋体" w:hAnsi="宋体"/>
          <w:color w:val="auto"/>
          <w:szCs w:val="21"/>
          <w:lang w:eastAsia="zh-CN"/>
        </w:rPr>
        <w:t>、</w:t>
      </w:r>
      <w:r>
        <w:rPr>
          <w:rFonts w:hint="eastAsia" w:ascii="宋体" w:hAnsi="宋体"/>
          <w:color w:val="auto"/>
          <w:szCs w:val="21"/>
        </w:rPr>
        <w:t>资格服务商数量</w:t>
      </w:r>
      <w:r>
        <w:rPr>
          <w:rFonts w:hint="eastAsia" w:ascii="宋体" w:hAnsi="宋体"/>
          <w:color w:val="auto"/>
          <w:szCs w:val="21"/>
          <w:lang w:eastAsia="zh-CN"/>
        </w:rPr>
        <w:t>、</w:t>
      </w:r>
      <w:r>
        <w:rPr>
          <w:rFonts w:hint="eastAsia" w:ascii="宋体" w:hAnsi="宋体"/>
          <w:color w:val="auto"/>
          <w:szCs w:val="21"/>
        </w:rPr>
        <w:t>服务期限</w:t>
      </w:r>
      <w:r>
        <w:rPr>
          <w:rFonts w:hint="eastAsia" w:ascii="宋体" w:hAnsi="宋体"/>
          <w:color w:val="auto"/>
          <w:szCs w:val="21"/>
          <w:lang w:eastAsia="zh-CN"/>
        </w:rPr>
        <w:t>、</w:t>
      </w:r>
      <w:r>
        <w:rPr>
          <w:rFonts w:hint="eastAsia" w:ascii="宋体" w:hAnsi="宋体"/>
          <w:color w:val="auto"/>
          <w:szCs w:val="21"/>
        </w:rPr>
        <w:t>招标项目的性质及要求</w:t>
      </w:r>
      <w:r>
        <w:rPr>
          <w:rFonts w:hint="eastAsia"/>
          <w:color w:val="auto"/>
          <w:lang w:eastAsia="zh-CN"/>
        </w:rPr>
        <w:t>、</w:t>
      </w:r>
      <w:r>
        <w:rPr>
          <w:rFonts w:hint="eastAsia"/>
          <w:color w:val="auto"/>
        </w:rPr>
        <w:t>需要落实的政府采购政策</w:t>
      </w:r>
      <w:r>
        <w:rPr>
          <w:rFonts w:hint="eastAsia"/>
          <w:color w:val="auto"/>
          <w:lang w:eastAsia="zh-CN"/>
        </w:rPr>
        <w:t>等</w:t>
      </w:r>
      <w:r>
        <w:rPr>
          <w:rFonts w:hint="eastAsia"/>
          <w:color w:val="auto"/>
        </w:rPr>
        <w:t xml:space="preserve">) </w:t>
      </w:r>
    </w:p>
    <w:p>
      <w:pPr>
        <w:spacing w:line="480" w:lineRule="exact"/>
        <w:ind w:left="14" w:leftChars="0" w:hanging="14" w:hangingChars="7"/>
        <w:rPr>
          <w:rFonts w:hint="eastAsia" w:ascii="宋体" w:hAnsi="宋体"/>
          <w:bCs/>
          <w:color w:val="auto"/>
          <w:szCs w:val="21"/>
        </w:rPr>
      </w:pPr>
      <w:r>
        <w:rPr>
          <w:rFonts w:hint="eastAsia" w:ascii="宋体" w:hAnsi="宋体"/>
          <w:color w:val="auto"/>
          <w:szCs w:val="21"/>
          <w:lang w:val="en-US" w:eastAsia="zh-CN"/>
        </w:rPr>
        <w:t>5.1</w:t>
      </w:r>
      <w:r>
        <w:rPr>
          <w:rFonts w:hint="eastAsia" w:ascii="宋体" w:hAnsi="宋体"/>
          <w:color w:val="auto"/>
          <w:szCs w:val="21"/>
        </w:rPr>
        <w:t>、</w:t>
      </w:r>
      <w:r>
        <w:rPr>
          <w:rFonts w:hint="eastAsia" w:ascii="宋体" w:hAnsi="宋体"/>
          <w:bCs/>
          <w:color w:val="auto"/>
          <w:szCs w:val="21"/>
        </w:rPr>
        <w:t>本项目的中标人受理委托报酬计费：</w:t>
      </w:r>
    </w:p>
    <w:p>
      <w:pPr>
        <w:spacing w:line="480" w:lineRule="exact"/>
        <w:rPr>
          <w:rFonts w:hint="eastAsia" w:ascii="宋体" w:hAnsi="宋体"/>
          <w:bCs/>
          <w:color w:val="auto"/>
          <w:szCs w:val="21"/>
          <w:lang w:eastAsia="zh-CN"/>
        </w:rPr>
      </w:pPr>
      <w:r>
        <w:rPr>
          <w:rFonts w:hint="eastAsia" w:ascii="宋体" w:hAnsi="宋体"/>
          <w:bCs/>
          <w:color w:val="auto"/>
          <w:szCs w:val="21"/>
          <w:lang w:val="en-US" w:eastAsia="zh-CN"/>
        </w:rPr>
        <w:t>1） 收费标准按《广东省建设工程造价咨询服务收费标准》的80%</w:t>
      </w:r>
      <w:r>
        <w:rPr>
          <w:rFonts w:hint="eastAsia" w:ascii="宋体" w:hAnsi="宋体"/>
          <w:bCs/>
          <w:color w:val="auto"/>
          <w:szCs w:val="21"/>
          <w:lang w:eastAsia="zh-CN"/>
        </w:rPr>
        <w:t>（公路工程除外）；</w:t>
      </w:r>
    </w:p>
    <w:p>
      <w:pPr>
        <w:spacing w:line="480" w:lineRule="exact"/>
        <w:ind w:left="14" w:leftChars="0" w:hanging="14" w:hangingChars="7"/>
        <w:rPr>
          <w:rFonts w:hint="eastAsia" w:ascii="宋体" w:hAnsi="宋体"/>
          <w:bCs/>
          <w:color w:val="auto"/>
          <w:szCs w:val="21"/>
          <w:lang w:eastAsia="zh-CN"/>
        </w:rPr>
      </w:pPr>
      <w:r>
        <w:rPr>
          <w:rFonts w:hint="eastAsia" w:ascii="宋体" w:hAnsi="宋体"/>
          <w:bCs/>
          <w:color w:val="auto"/>
          <w:szCs w:val="21"/>
          <w:lang w:val="en-US" w:eastAsia="zh-CN"/>
        </w:rPr>
        <w:t>2） 公路工程收费标准按《广东省建设工程造价咨询服务收费标准》的80%；</w:t>
      </w:r>
    </w:p>
    <w:p>
      <w:pPr>
        <w:spacing w:line="480" w:lineRule="exact"/>
        <w:ind w:left="14" w:leftChars="0" w:hanging="14" w:hangingChars="7"/>
        <w:rPr>
          <w:rFonts w:hint="eastAsia" w:ascii="宋体" w:hAnsi="宋体"/>
          <w:color w:val="auto"/>
          <w:szCs w:val="21"/>
        </w:rPr>
      </w:pPr>
      <w:r>
        <w:rPr>
          <w:rFonts w:hint="eastAsia" w:ascii="宋体" w:hAnsi="宋体"/>
          <w:bCs/>
          <w:color w:val="auto"/>
          <w:szCs w:val="21"/>
          <w:lang w:val="en-US" w:eastAsia="zh-CN"/>
        </w:rPr>
        <w:t>3） 建筑工程</w:t>
      </w:r>
      <w:r>
        <w:rPr>
          <w:rFonts w:hint="eastAsia" w:ascii="宋体" w:hAnsi="宋体"/>
          <w:bCs/>
          <w:color w:val="auto"/>
          <w:szCs w:val="21"/>
          <w:lang w:eastAsia="zh-CN"/>
        </w:rPr>
        <w:t>竣工财务决算、结算复审的收费标准按附件三</w:t>
      </w:r>
      <w:r>
        <w:rPr>
          <w:rFonts w:hint="eastAsia" w:ascii="宋体" w:hAnsi="宋体"/>
          <w:bCs/>
          <w:color w:val="auto"/>
          <w:szCs w:val="21"/>
        </w:rPr>
        <w:t>。</w:t>
      </w:r>
    </w:p>
    <w:p>
      <w:pPr>
        <w:spacing w:line="480" w:lineRule="exact"/>
        <w:ind w:left="14" w:leftChars="0" w:hanging="14" w:hangingChars="7"/>
        <w:rPr>
          <w:rFonts w:hint="eastAsia" w:ascii="宋体" w:hAnsi="宋体"/>
          <w:bCs/>
          <w:color w:val="auto"/>
          <w:szCs w:val="21"/>
        </w:rPr>
      </w:pPr>
      <w:r>
        <w:rPr>
          <w:rFonts w:hint="eastAsia" w:ascii="宋体" w:hAnsi="宋体"/>
          <w:color w:val="auto"/>
          <w:szCs w:val="21"/>
          <w:lang w:val="en-US" w:eastAsia="zh-CN"/>
        </w:rPr>
        <w:t>5.</w:t>
      </w:r>
      <w:r>
        <w:rPr>
          <w:rFonts w:hint="eastAsia" w:ascii="宋体" w:hAnsi="宋体"/>
          <w:color w:val="auto"/>
          <w:szCs w:val="21"/>
        </w:rPr>
        <w:t>2、招标项目内容：根据采购人的任务分派，参与</w:t>
      </w:r>
      <w:r>
        <w:rPr>
          <w:rFonts w:hint="eastAsia" w:ascii="宋体" w:hAnsi="宋体"/>
          <w:color w:val="auto"/>
          <w:szCs w:val="21"/>
          <w:lang w:eastAsia="zh-CN"/>
        </w:rPr>
        <w:t>郁南县</w:t>
      </w:r>
      <w:r>
        <w:rPr>
          <w:rFonts w:hint="eastAsia" w:ascii="宋体" w:hAnsi="宋体"/>
          <w:color w:val="auto"/>
          <w:szCs w:val="21"/>
        </w:rPr>
        <w:t>财政性资金投资工程项目估算、概算、预算、最高限价、工程变更、结算的委托审核</w:t>
      </w:r>
      <w:r>
        <w:rPr>
          <w:rFonts w:hint="eastAsia" w:ascii="宋体" w:hAnsi="宋体"/>
          <w:bCs/>
          <w:color w:val="auto"/>
          <w:szCs w:val="21"/>
        </w:rPr>
        <w:t>。</w:t>
      </w:r>
    </w:p>
    <w:p>
      <w:pPr>
        <w:spacing w:line="480" w:lineRule="exact"/>
        <w:ind w:left="14" w:leftChars="0" w:hanging="14" w:hangingChars="7"/>
        <w:rPr>
          <w:rFonts w:hint="eastAsia" w:ascii="宋体" w:hAnsi="宋体"/>
          <w:color w:val="auto"/>
          <w:szCs w:val="21"/>
        </w:rPr>
      </w:pPr>
      <w:r>
        <w:rPr>
          <w:rFonts w:hint="eastAsia" w:ascii="宋体" w:hAnsi="宋体"/>
          <w:color w:val="auto"/>
          <w:szCs w:val="21"/>
          <w:lang w:val="en-US" w:eastAsia="zh-CN"/>
        </w:rPr>
        <w:t>5.5</w:t>
      </w:r>
      <w:r>
        <w:rPr>
          <w:rFonts w:hint="eastAsia" w:ascii="宋体" w:hAnsi="宋体"/>
          <w:color w:val="auto"/>
          <w:szCs w:val="21"/>
        </w:rPr>
        <w:t>、</w:t>
      </w:r>
      <w:bookmarkStart w:id="1" w:name="_Hlt279048220"/>
      <w:bookmarkStart w:id="2" w:name="_Hlt278987769"/>
      <w:r>
        <w:rPr>
          <w:rFonts w:hint="eastAsia" w:ascii="宋体" w:hAnsi="宋体"/>
          <w:color w:val="auto"/>
          <w:szCs w:val="21"/>
        </w:rPr>
        <w:t>资格服务商</w:t>
      </w:r>
      <w:bookmarkEnd w:id="1"/>
      <w:r>
        <w:rPr>
          <w:rFonts w:hint="eastAsia" w:ascii="宋体" w:hAnsi="宋体"/>
          <w:color w:val="auto"/>
          <w:szCs w:val="21"/>
        </w:rPr>
        <w:t>数量：</w:t>
      </w:r>
      <w:r>
        <w:rPr>
          <w:rFonts w:hint="eastAsia" w:ascii="宋体" w:hAnsi="宋体"/>
          <w:color w:val="auto"/>
          <w:szCs w:val="21"/>
          <w:lang w:val="en-US" w:eastAsia="zh-CN"/>
        </w:rPr>
        <w:t>3</w:t>
      </w:r>
      <w:r>
        <w:rPr>
          <w:rFonts w:hint="eastAsia" w:ascii="宋体" w:hAnsi="宋体"/>
          <w:color w:val="auto"/>
          <w:szCs w:val="21"/>
        </w:rPr>
        <w:t>家。</w:t>
      </w:r>
      <w:bookmarkEnd w:id="2"/>
    </w:p>
    <w:p>
      <w:pPr>
        <w:spacing w:line="480" w:lineRule="exact"/>
        <w:ind w:left="14" w:leftChars="0" w:hanging="14" w:hangingChars="7"/>
        <w:rPr>
          <w:rFonts w:hint="eastAsia" w:ascii="宋体" w:hAnsi="宋体"/>
          <w:color w:val="auto"/>
          <w:szCs w:val="21"/>
        </w:rPr>
      </w:pPr>
      <w:r>
        <w:rPr>
          <w:rFonts w:hint="eastAsia" w:ascii="宋体" w:hAnsi="宋体"/>
          <w:color w:val="auto"/>
          <w:szCs w:val="21"/>
          <w:lang w:val="en-US" w:eastAsia="zh-CN"/>
        </w:rPr>
        <w:t>5.5</w:t>
      </w:r>
      <w:r>
        <w:rPr>
          <w:rFonts w:hint="eastAsia" w:ascii="宋体" w:hAnsi="宋体"/>
          <w:color w:val="auto"/>
          <w:szCs w:val="21"/>
        </w:rPr>
        <w:t>、</w:t>
      </w:r>
      <w:bookmarkStart w:id="3" w:name="_Hlt279048289"/>
      <w:r>
        <w:rPr>
          <w:rFonts w:hint="eastAsia" w:ascii="宋体" w:hAnsi="宋体"/>
          <w:color w:val="auto"/>
          <w:szCs w:val="21"/>
        </w:rPr>
        <w:t>服务期限：叁年（根据合同约定日期开始计算）。</w:t>
      </w:r>
      <w:bookmarkEnd w:id="3"/>
    </w:p>
    <w:p>
      <w:pPr>
        <w:spacing w:line="480" w:lineRule="exact"/>
        <w:ind w:left="14" w:leftChars="0" w:hanging="14" w:hangingChars="7"/>
        <w:rPr>
          <w:rFonts w:hint="eastAsia" w:ascii="宋体" w:hAnsi="宋体" w:cs="Tahoma"/>
          <w:color w:val="auto"/>
          <w:kern w:val="28"/>
        </w:rPr>
      </w:pPr>
      <w:r>
        <w:rPr>
          <w:rFonts w:hint="eastAsia" w:ascii="宋体" w:hAnsi="宋体"/>
          <w:color w:val="auto"/>
          <w:szCs w:val="21"/>
          <w:lang w:val="en-US" w:eastAsia="zh-CN"/>
        </w:rPr>
        <w:t>5.6</w:t>
      </w:r>
      <w:r>
        <w:rPr>
          <w:rFonts w:hint="eastAsia" w:ascii="宋体" w:hAnsi="宋体"/>
          <w:color w:val="auto"/>
          <w:szCs w:val="21"/>
        </w:rPr>
        <w:t>、招标项目的性质及要求：</w:t>
      </w:r>
      <w:bookmarkStart w:id="4" w:name="_Hlt279051378"/>
      <w:r>
        <w:rPr>
          <w:rFonts w:hint="eastAsia" w:ascii="宋体" w:hAnsi="宋体"/>
          <w:color w:val="auto"/>
          <w:szCs w:val="21"/>
        </w:rPr>
        <w:t>本项目为一个整体，</w:t>
      </w:r>
      <w:r>
        <w:rPr>
          <w:rFonts w:hint="eastAsia" w:ascii="宋体" w:hAnsi="宋体"/>
          <w:color w:val="auto"/>
          <w:szCs w:val="21"/>
          <w:lang w:eastAsia="zh-CN"/>
        </w:rPr>
        <w:t>报价人</w:t>
      </w:r>
      <w:r>
        <w:rPr>
          <w:rFonts w:hint="eastAsia" w:ascii="宋体" w:hAnsi="宋体"/>
          <w:color w:val="auto"/>
          <w:szCs w:val="21"/>
        </w:rPr>
        <w:t>须对本项目</w:t>
      </w:r>
      <w:r>
        <w:rPr>
          <w:rFonts w:hint="eastAsia" w:ascii="宋体" w:hAnsi="宋体"/>
          <w:color w:val="auto"/>
          <w:szCs w:val="21"/>
          <w:lang w:eastAsia="zh-CN"/>
        </w:rPr>
        <w:t>全部内容</w:t>
      </w:r>
      <w:r>
        <w:rPr>
          <w:rFonts w:hint="eastAsia" w:ascii="宋体" w:hAnsi="宋体"/>
          <w:color w:val="auto"/>
          <w:szCs w:val="21"/>
        </w:rPr>
        <w:t>进行</w:t>
      </w:r>
      <w:r>
        <w:rPr>
          <w:rFonts w:hint="eastAsia" w:ascii="宋体" w:hAnsi="宋体"/>
          <w:color w:val="auto"/>
          <w:szCs w:val="21"/>
          <w:lang w:eastAsia="zh-CN"/>
        </w:rPr>
        <w:t>响应</w:t>
      </w:r>
      <w:r>
        <w:rPr>
          <w:rFonts w:hint="eastAsia" w:ascii="宋体" w:hAnsi="宋体"/>
          <w:color w:val="auto"/>
          <w:szCs w:val="21"/>
        </w:rPr>
        <w:t>，不得分拆</w:t>
      </w:r>
      <w:r>
        <w:rPr>
          <w:rFonts w:hint="eastAsia" w:ascii="宋体" w:hAnsi="宋体"/>
          <w:color w:val="auto"/>
          <w:szCs w:val="21"/>
          <w:lang w:eastAsia="zh-CN"/>
        </w:rPr>
        <w:t>项目</w:t>
      </w:r>
      <w:r>
        <w:rPr>
          <w:rFonts w:hint="eastAsia" w:ascii="宋体" w:hAnsi="宋体"/>
          <w:color w:val="auto"/>
          <w:szCs w:val="21"/>
        </w:rPr>
        <w:t>，且要提供完整的技术资料</w:t>
      </w:r>
      <w:bookmarkEnd w:id="4"/>
      <w:r>
        <w:rPr>
          <w:rFonts w:hint="eastAsia" w:ascii="宋体" w:hAnsi="宋体"/>
          <w:color w:val="auto"/>
          <w:szCs w:val="21"/>
        </w:rPr>
        <w:t>（详见第三章用户需求书）。</w:t>
      </w:r>
    </w:p>
    <w:p>
      <w:pPr>
        <w:keepNext w:val="0"/>
        <w:keepLines w:val="0"/>
        <w:pageBreakBefore w:val="0"/>
        <w:widowControl/>
        <w:kinsoku/>
        <w:wordWrap/>
        <w:overflowPunct/>
        <w:topLinePunct w:val="0"/>
        <w:autoSpaceDE/>
        <w:autoSpaceDN/>
        <w:bidi w:val="0"/>
        <w:adjustRightInd/>
        <w:snapToGrid/>
        <w:spacing w:line="480" w:lineRule="exact"/>
        <w:ind w:left="14" w:leftChars="0" w:right="0" w:rightChars="0" w:hanging="14" w:hangingChars="7"/>
        <w:jc w:val="left"/>
        <w:textAlignment w:val="auto"/>
        <w:outlineLvl w:val="9"/>
        <w:rPr>
          <w:rFonts w:hint="eastAsia"/>
          <w:color w:val="auto"/>
        </w:rPr>
      </w:pPr>
      <w:r>
        <w:rPr>
          <w:rFonts w:hint="eastAsia"/>
          <w:color w:val="auto"/>
        </w:rPr>
        <w:t>5.</w:t>
      </w:r>
      <w:r>
        <w:rPr>
          <w:rFonts w:hint="eastAsia"/>
          <w:color w:val="auto"/>
          <w:lang w:val="en-US" w:eastAsia="zh-CN"/>
        </w:rPr>
        <w:t>7</w:t>
      </w:r>
      <w:r>
        <w:rPr>
          <w:rFonts w:hint="eastAsia"/>
          <w:color w:val="auto"/>
          <w:lang w:eastAsia="zh-CN"/>
        </w:rPr>
        <w:t>、</w:t>
      </w:r>
      <w:r>
        <w:rPr>
          <w:rFonts w:hint="eastAsia"/>
          <w:color w:val="auto"/>
        </w:rPr>
        <w:t> 本项目属于政府采购项目。</w:t>
      </w:r>
    </w:p>
    <w:p>
      <w:pPr>
        <w:keepNext w:val="0"/>
        <w:keepLines w:val="0"/>
        <w:pageBreakBefore w:val="0"/>
        <w:widowControl/>
        <w:kinsoku/>
        <w:wordWrap/>
        <w:overflowPunct/>
        <w:topLinePunct w:val="0"/>
        <w:autoSpaceDE/>
        <w:autoSpaceDN/>
        <w:bidi w:val="0"/>
        <w:adjustRightInd/>
        <w:snapToGrid/>
        <w:spacing w:line="480" w:lineRule="exact"/>
        <w:ind w:left="14" w:leftChars="0" w:right="0" w:rightChars="0" w:hanging="14" w:hangingChars="7"/>
        <w:jc w:val="left"/>
        <w:textAlignment w:val="auto"/>
        <w:outlineLvl w:val="9"/>
        <w:rPr>
          <w:rFonts w:hint="eastAsia"/>
          <w:color w:val="auto"/>
        </w:rPr>
      </w:pPr>
      <w:r>
        <w:rPr>
          <w:rFonts w:hint="eastAsia"/>
          <w:color w:val="auto"/>
        </w:rPr>
        <w:t>5.</w:t>
      </w:r>
      <w:r>
        <w:rPr>
          <w:rFonts w:hint="eastAsia"/>
          <w:color w:val="auto"/>
          <w:lang w:val="en-US" w:eastAsia="zh-CN"/>
        </w:rPr>
        <w:t>8</w:t>
      </w:r>
      <w:r>
        <w:rPr>
          <w:rFonts w:hint="eastAsia"/>
          <w:color w:val="auto"/>
          <w:lang w:eastAsia="zh-CN"/>
        </w:rPr>
        <w:t>、</w:t>
      </w:r>
      <w:r>
        <w:rPr>
          <w:rFonts w:hint="eastAsia"/>
          <w:color w:val="auto"/>
        </w:rPr>
        <w:t> 监管部门：</w:t>
      </w:r>
      <w:r>
        <w:rPr>
          <w:rFonts w:hint="eastAsia"/>
          <w:color w:val="auto"/>
          <w:lang w:val="en-US" w:eastAsia="zh-CN"/>
        </w:rPr>
        <w:t>郁南县财政局</w:t>
      </w:r>
      <w:r>
        <w:rPr>
          <w:rFonts w:hint="eastAsia"/>
          <w:color w:val="auto"/>
        </w:rPr>
        <w:t>。</w:t>
      </w:r>
    </w:p>
    <w:p>
      <w:pPr>
        <w:spacing w:line="480" w:lineRule="exact"/>
        <w:rPr>
          <w:rFonts w:hint="eastAsia"/>
          <w:color w:val="auto"/>
        </w:rPr>
      </w:pPr>
      <w:r>
        <w:rPr>
          <w:rFonts w:hint="eastAsia"/>
          <w:color w:val="auto"/>
          <w:lang w:val="en-US" w:eastAsia="zh-CN"/>
        </w:rPr>
        <w:t>5.9、需要落实的政府采购政策：《政府采购促进中小企业发展暂行办法》（财库[2011]181号）、《关于政府采购支持监狱企业发展有关问题的通知》（财库[2014]68号）、《关于环境标志产品政府采购实施的意见》（财库[2006]90号、《节能产品政府采购实施意见》的通知（财库[2004]185号）</w:t>
      </w:r>
      <w:r>
        <w:rPr>
          <w:rFonts w:hint="eastAsia"/>
          <w:color w:val="auto"/>
          <w:lang w:val="en-US" w:eastAsia="zh-CN"/>
        </w:rPr>
        <w:t>。</w:t>
      </w:r>
    </w:p>
    <w:p>
      <w:pPr>
        <w:spacing w:line="480" w:lineRule="exact"/>
        <w:rPr>
          <w:color w:val="auto"/>
        </w:rPr>
      </w:pPr>
      <w:r>
        <w:rPr>
          <w:rFonts w:hint="eastAsia" w:ascii="宋体" w:hAnsi="宋体"/>
          <w:b/>
          <w:bCs/>
          <w:color w:val="auto"/>
          <w:szCs w:val="21"/>
          <w:lang w:eastAsia="zh-CN"/>
        </w:rPr>
        <w:t>报价人</w:t>
      </w:r>
      <w:r>
        <w:rPr>
          <w:rFonts w:hint="eastAsia" w:ascii="宋体" w:hAnsi="宋体"/>
          <w:b/>
          <w:bCs/>
          <w:color w:val="auto"/>
          <w:szCs w:val="21"/>
        </w:rPr>
        <w:t>应对</w:t>
      </w:r>
      <w:r>
        <w:rPr>
          <w:rFonts w:hint="eastAsia" w:ascii="宋体" w:hAnsi="宋体"/>
          <w:b/>
          <w:bCs/>
          <w:color w:val="auto"/>
          <w:szCs w:val="21"/>
          <w:lang w:eastAsia="zh-CN"/>
        </w:rPr>
        <w:t>项目</w:t>
      </w:r>
      <w:r>
        <w:rPr>
          <w:rFonts w:hint="eastAsia" w:ascii="宋体" w:hAnsi="宋体"/>
          <w:b/>
          <w:bCs/>
          <w:color w:val="auto"/>
          <w:szCs w:val="21"/>
        </w:rPr>
        <w:t>内所有内容进行投标，不允许只对</w:t>
      </w:r>
      <w:r>
        <w:rPr>
          <w:rFonts w:hint="eastAsia" w:ascii="宋体" w:hAnsi="宋体"/>
          <w:b/>
          <w:bCs/>
          <w:color w:val="auto"/>
          <w:szCs w:val="21"/>
          <w:lang w:eastAsia="zh-CN"/>
        </w:rPr>
        <w:t>项目</w:t>
      </w:r>
      <w:r>
        <w:rPr>
          <w:rFonts w:hint="eastAsia" w:ascii="宋体" w:hAnsi="宋体"/>
          <w:b/>
          <w:bCs/>
          <w:color w:val="auto"/>
          <w:szCs w:val="21"/>
        </w:rPr>
        <w:t>部分内容进行投标</w:t>
      </w:r>
      <w:r>
        <w:rPr>
          <w:rFonts w:hint="eastAsia" w:ascii="宋体" w:hAnsi="宋体" w:cs="Tahoma"/>
          <w:color w:val="auto"/>
          <w:kern w:val="28"/>
        </w:rPr>
        <w:t>。</w:t>
      </w:r>
    </w:p>
    <w:p>
      <w:pPr>
        <w:snapToGrid w:val="0"/>
        <w:spacing w:line="480" w:lineRule="exact"/>
        <w:outlineLvl w:val="0"/>
        <w:rPr>
          <w:rFonts w:ascii="宋体" w:hAnsi="宋体" w:cs="Tahoma"/>
          <w:b/>
          <w:color w:val="auto"/>
        </w:rPr>
      </w:pPr>
      <w:r>
        <w:rPr>
          <w:rFonts w:hint="eastAsia" w:ascii="宋体" w:hAnsi="宋体" w:cs="Tahoma"/>
          <w:b/>
          <w:color w:val="auto"/>
        </w:rPr>
        <w:t>二、合格报价人资格条件</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ascii="宋体" w:hAnsi="宋体"/>
          <w:color w:val="auto"/>
        </w:rPr>
      </w:pPr>
      <w:r>
        <w:rPr>
          <w:rFonts w:hint="eastAsia" w:ascii="宋体" w:hAnsi="宋体"/>
          <w:color w:val="auto"/>
        </w:rPr>
        <w:t>1、</w:t>
      </w:r>
      <w:r>
        <w:rPr>
          <w:rFonts w:hint="eastAsia" w:ascii="宋体" w:hAnsi="宋体"/>
          <w:color w:val="auto"/>
          <w:lang w:eastAsia="zh-CN"/>
        </w:rPr>
        <w:t>报价人</w:t>
      </w:r>
      <w:r>
        <w:rPr>
          <w:rFonts w:hint="eastAsia" w:ascii="宋体" w:hAnsi="宋体"/>
          <w:color w:val="auto"/>
        </w:rPr>
        <w:t>具有独立承担民事责任能力的在中华人民共和国境内注册的法人，具有从事本项目的经营范围和能力；</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color w:val="auto"/>
          <w:szCs w:val="21"/>
        </w:rPr>
      </w:pPr>
      <w:r>
        <w:rPr>
          <w:rFonts w:hint="eastAsia" w:ascii="宋体" w:hAnsi="宋体"/>
          <w:color w:val="auto"/>
          <w:lang w:val="en-US" w:eastAsia="zh-CN"/>
        </w:rPr>
        <w:t>2</w:t>
      </w:r>
      <w:r>
        <w:rPr>
          <w:rFonts w:hint="eastAsia" w:ascii="宋体" w:hAnsi="宋体"/>
          <w:color w:val="auto"/>
        </w:rPr>
        <w:t>、</w:t>
      </w:r>
      <w:r>
        <w:rPr>
          <w:rFonts w:hint="eastAsia"/>
          <w:color w:val="auto"/>
          <w:szCs w:val="21"/>
        </w:rPr>
        <w:t>提供</w:t>
      </w:r>
      <w:r>
        <w:rPr>
          <w:rFonts w:hint="eastAsia"/>
          <w:color w:val="auto"/>
          <w:szCs w:val="21"/>
          <w:lang w:eastAsia="zh-CN"/>
        </w:rPr>
        <w:t>报价人</w:t>
      </w:r>
      <w:r>
        <w:rPr>
          <w:rFonts w:hint="eastAsia"/>
          <w:color w:val="auto"/>
          <w:szCs w:val="21"/>
        </w:rPr>
        <w:t>住所地或者业务发生地人民检察院出具的无行贿犯罪档案查询结果告知函【自出具之日起前</w:t>
      </w:r>
      <w:r>
        <w:rPr>
          <w:color w:val="auto"/>
          <w:szCs w:val="21"/>
        </w:rPr>
        <w:t>3</w:t>
      </w:r>
      <w:r>
        <w:rPr>
          <w:rFonts w:hint="eastAsia"/>
          <w:color w:val="auto"/>
          <w:szCs w:val="21"/>
        </w:rPr>
        <w:t>年内无行贿犯罪档案记录，若</w:t>
      </w:r>
      <w:r>
        <w:rPr>
          <w:rFonts w:hint="eastAsia"/>
          <w:color w:val="auto"/>
          <w:szCs w:val="21"/>
          <w:lang w:eastAsia="zh-CN"/>
        </w:rPr>
        <w:t>报价人</w:t>
      </w:r>
      <w:r>
        <w:rPr>
          <w:rFonts w:hint="eastAsia"/>
          <w:color w:val="auto"/>
          <w:szCs w:val="21"/>
        </w:rPr>
        <w:t>自成立之日起不足</w:t>
      </w:r>
      <w:r>
        <w:rPr>
          <w:color w:val="auto"/>
          <w:szCs w:val="21"/>
        </w:rPr>
        <w:t>3</w:t>
      </w:r>
      <w:r>
        <w:rPr>
          <w:rFonts w:hint="eastAsia"/>
          <w:color w:val="auto"/>
          <w:szCs w:val="21"/>
        </w:rPr>
        <w:t>年的，则出具自成立之日起至出具之日无行贿犯罪档案纪录。无行贿犯罪档案查询结果告知函有效期自出具之日</w:t>
      </w:r>
      <w:r>
        <w:rPr>
          <w:color w:val="auto"/>
          <w:szCs w:val="21"/>
        </w:rPr>
        <w:t>2</w:t>
      </w:r>
      <w:r>
        <w:rPr>
          <w:rFonts w:hint="eastAsia"/>
          <w:color w:val="auto"/>
          <w:szCs w:val="21"/>
        </w:rPr>
        <w:t>个月内有效，开标时间必须在有效期内，报名时提供复印件并加盖公章，原件核查。</w:t>
      </w:r>
      <w:r>
        <w:rPr>
          <w:rFonts w:hint="eastAsia" w:ascii="宋体" w:hAnsi="宋体"/>
          <w:color w:val="auto"/>
        </w:rPr>
        <w:t>投标时</w:t>
      </w:r>
      <w:r>
        <w:rPr>
          <w:rFonts w:hint="eastAsia" w:ascii="宋体" w:hAnsi="宋体"/>
          <w:color w:val="auto"/>
          <w:lang w:eastAsia="zh-CN"/>
        </w:rPr>
        <w:t>随投标文件将原件放在正本中</w:t>
      </w:r>
      <w:r>
        <w:rPr>
          <w:rFonts w:hint="eastAsia" w:ascii="宋体" w:hAnsi="宋体"/>
          <w:color w:val="auto"/>
        </w:rPr>
        <w:t>。</w:t>
      </w:r>
      <w:r>
        <w:rPr>
          <w:rFonts w:hint="eastAsia"/>
          <w:color w:val="auto"/>
          <w:szCs w:val="21"/>
        </w:rPr>
        <w:t>】</w:t>
      </w:r>
    </w:p>
    <w:p>
      <w:pPr>
        <w:spacing w:line="480" w:lineRule="exact"/>
        <w:rPr>
          <w:rFonts w:hint="eastAsia"/>
          <w:color w:val="auto"/>
          <w:szCs w:val="21"/>
          <w:lang w:val="hr-HR"/>
        </w:rPr>
      </w:pPr>
      <w:r>
        <w:rPr>
          <w:rFonts w:hint="eastAsia"/>
          <w:color w:val="auto"/>
          <w:szCs w:val="21"/>
        </w:rPr>
        <w:t>3、</w:t>
      </w:r>
      <w:r>
        <w:rPr>
          <w:rFonts w:hint="eastAsia"/>
          <w:color w:val="auto"/>
          <w:szCs w:val="21"/>
          <w:lang w:val="hr-HR" w:eastAsia="zh-CN"/>
        </w:rPr>
        <w:t>报价人必须具有建设行政主管部门颁发的工程造价咨询机构乙级或以上资质证书</w:t>
      </w:r>
      <w:r>
        <w:rPr>
          <w:rFonts w:hint="eastAsia"/>
          <w:color w:val="auto"/>
          <w:szCs w:val="21"/>
          <w:lang w:val="hr-HR"/>
        </w:rPr>
        <w:t>；</w:t>
      </w:r>
    </w:p>
    <w:p>
      <w:pPr>
        <w:widowControl w:val="0"/>
        <w:spacing w:line="480" w:lineRule="exact"/>
        <w:jc w:val="both"/>
        <w:rPr>
          <w:rFonts w:hint="eastAsia"/>
          <w:color w:val="auto"/>
          <w:szCs w:val="21"/>
        </w:rPr>
      </w:pPr>
      <w:r>
        <w:rPr>
          <w:rFonts w:hint="eastAsia"/>
          <w:color w:val="auto"/>
          <w:szCs w:val="21"/>
          <w:lang w:val="en-US" w:eastAsia="zh-CN"/>
        </w:rPr>
        <w:t>4、</w:t>
      </w:r>
      <w:r>
        <w:rPr>
          <w:rFonts w:hint="eastAsia" w:ascii="宋体" w:hAnsi="宋体"/>
          <w:color w:val="auto"/>
          <w:szCs w:val="21"/>
          <w:lang w:val="hr-HR" w:eastAsia="zh-CN"/>
        </w:rPr>
        <w:t>报价人</w:t>
      </w:r>
      <w:r>
        <w:rPr>
          <w:rFonts w:hint="eastAsia" w:ascii="宋体" w:hAnsi="宋体"/>
          <w:color w:val="auto"/>
          <w:szCs w:val="21"/>
          <w:lang w:val="hr-HR"/>
        </w:rPr>
        <w:t>具有云浮市（区）建设行政主管部门</w:t>
      </w:r>
      <w:r>
        <w:rPr>
          <w:rFonts w:hint="eastAsia" w:ascii="宋体" w:hAnsi="宋体"/>
          <w:color w:val="auto"/>
          <w:szCs w:val="21"/>
          <w:lang w:val="hr-HR" w:eastAsia="zh-CN"/>
        </w:rPr>
        <w:t>审批</w:t>
      </w:r>
      <w:r>
        <w:rPr>
          <w:rFonts w:hint="eastAsia" w:ascii="宋体" w:hAnsi="宋体"/>
          <w:color w:val="auto"/>
          <w:szCs w:val="21"/>
          <w:lang w:val="hr-HR"/>
        </w:rPr>
        <w:t>的有效的《云浮市建筑</w:t>
      </w:r>
      <w:r>
        <w:rPr>
          <w:rFonts w:hint="eastAsia" w:ascii="宋体" w:hAnsi="宋体"/>
          <w:color w:val="auto"/>
          <w:szCs w:val="21"/>
          <w:lang w:val="hr-HR" w:eastAsia="zh-CN"/>
        </w:rPr>
        <w:t>市场</w:t>
      </w:r>
      <w:r>
        <w:rPr>
          <w:rFonts w:hint="eastAsia" w:ascii="宋体" w:hAnsi="宋体"/>
          <w:color w:val="auto"/>
          <w:szCs w:val="21"/>
          <w:lang w:val="hr-HR"/>
        </w:rPr>
        <w:t>诚信手册</w:t>
      </w:r>
      <w:r>
        <w:rPr>
          <w:rFonts w:hint="eastAsia" w:ascii="宋体" w:hAnsi="宋体"/>
          <w:color w:val="auto"/>
          <w:szCs w:val="21"/>
          <w:lang w:val="hr-HR" w:eastAsia="zh-CN"/>
        </w:rPr>
        <w:t>申请表</w:t>
      </w:r>
      <w:r>
        <w:rPr>
          <w:rFonts w:hint="eastAsia" w:ascii="宋体" w:hAnsi="宋体"/>
          <w:color w:val="auto"/>
          <w:szCs w:val="21"/>
          <w:lang w:val="hr-HR"/>
        </w:rPr>
        <w:t>》，有效是指诚信管理系统状态显示为“正常”。《云浮市建筑</w:t>
      </w:r>
      <w:r>
        <w:rPr>
          <w:rFonts w:hint="eastAsia" w:ascii="宋体" w:hAnsi="宋体"/>
          <w:color w:val="auto"/>
          <w:szCs w:val="21"/>
          <w:lang w:val="hr-HR" w:eastAsia="zh-CN"/>
        </w:rPr>
        <w:t>市场</w:t>
      </w:r>
      <w:r>
        <w:rPr>
          <w:rFonts w:hint="eastAsia" w:ascii="宋体" w:hAnsi="宋体"/>
          <w:color w:val="auto"/>
          <w:szCs w:val="21"/>
          <w:lang w:val="hr-HR"/>
        </w:rPr>
        <w:t>诚信手册</w:t>
      </w:r>
      <w:r>
        <w:rPr>
          <w:rFonts w:hint="eastAsia" w:ascii="宋体" w:hAnsi="宋体"/>
          <w:color w:val="auto"/>
          <w:szCs w:val="21"/>
          <w:lang w:val="hr-HR" w:eastAsia="zh-CN"/>
        </w:rPr>
        <w:t>申请表</w:t>
      </w:r>
      <w:r>
        <w:rPr>
          <w:rFonts w:hint="eastAsia" w:ascii="宋体" w:hAnsi="宋体"/>
          <w:color w:val="auto"/>
          <w:szCs w:val="21"/>
          <w:lang w:val="hr-HR"/>
        </w:rPr>
        <w:t>》的有效范围是最新</w:t>
      </w:r>
      <w:r>
        <w:rPr>
          <w:rFonts w:hint="eastAsia" w:ascii="宋体" w:hAnsi="宋体"/>
          <w:color w:val="auto"/>
          <w:szCs w:val="21"/>
        </w:rPr>
        <w:t>年度考评结论为C或以上的</w:t>
      </w:r>
      <w:r>
        <w:rPr>
          <w:rFonts w:hint="eastAsia" w:ascii="宋体" w:hAnsi="宋体"/>
          <w:color w:val="auto"/>
          <w:szCs w:val="21"/>
          <w:lang w:eastAsia="zh-CN"/>
        </w:rPr>
        <w:t>。</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color w:val="auto"/>
          <w:szCs w:val="21"/>
          <w:lang w:eastAsia="zh-CN"/>
        </w:rPr>
      </w:pPr>
      <w:r>
        <w:rPr>
          <w:rFonts w:hint="eastAsia"/>
          <w:color w:val="auto"/>
          <w:szCs w:val="21"/>
          <w:lang w:val="en-US" w:eastAsia="zh-CN"/>
        </w:rPr>
        <w:t>5、</w:t>
      </w:r>
      <w:r>
        <w:rPr>
          <w:color w:val="auto"/>
          <w:lang w:val="en-US" w:eastAsia="zh-CN"/>
        </w:rPr>
        <w:t>按照《财政部关于在政府采购活动中查询及使用信用记录有关问题的通知》（财库﹝2016﹞125号）的要求，根据评审时“信用中国”网站（</w:t>
      </w:r>
      <w:r>
        <w:rPr>
          <w:color w:val="auto"/>
          <w:lang w:val="en-US" w:eastAsia="zh-CN"/>
        </w:rPr>
        <w:drawing>
          <wp:inline distT="0" distB="0" distL="114300" distR="114300">
            <wp:extent cx="190500" cy="142875"/>
            <wp:effectExtent l="0" t="0" r="0" b="9525"/>
            <wp:docPr id="5"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IMG_256"/>
                    <pic:cNvPicPr>
                      <a:picLocks noChangeAspect="1"/>
                    </pic:cNvPicPr>
                  </pic:nvPicPr>
                  <pic:blipFill>
                    <a:blip r:embed="rId19"/>
                    <a:stretch>
                      <a:fillRect/>
                    </a:stretch>
                  </pic:blipFill>
                  <pic:spPr>
                    <a:xfrm>
                      <a:off x="0" y="0"/>
                      <a:ext cx="190500" cy="142875"/>
                    </a:xfrm>
                    <a:prstGeom prst="rect">
                      <a:avLst/>
                    </a:prstGeom>
                    <a:noFill/>
                    <a:ln w="9525">
                      <a:noFill/>
                    </a:ln>
                  </pic:spPr>
                </pic:pic>
              </a:graphicData>
            </a:graphic>
          </wp:inline>
        </w:drawing>
      </w:r>
      <w:r>
        <w:rPr>
          <w:color w:val="auto"/>
          <w:lang w:val="en-US" w:eastAsia="zh-CN"/>
        </w:rPr>
        <w:t>www.creditchina.gov.cn）</w:t>
      </w:r>
      <w:r>
        <w:rPr>
          <w:rFonts w:hint="eastAsia" w:ascii="宋体" w:hAnsi="宋体"/>
          <w:bCs/>
          <w:color w:val="auto"/>
          <w:szCs w:val="21"/>
        </w:rPr>
        <w:t>、中国政府采购网(www.ccgp.gov.cn)</w:t>
      </w:r>
      <w:r>
        <w:rPr>
          <w:color w:val="auto"/>
          <w:lang w:val="en-US" w:eastAsia="zh-CN"/>
        </w:rPr>
        <w:t>的信息，对列入失信被执行人、重大税收违法案件当事人名单、政府采购严重违法失信行为记录名单的供应商，拒绝其参与政府采购活动（如查询结果显示“没查到您要的信息”，视为没有上述三类不良信用记录）</w:t>
      </w:r>
      <w:r>
        <w:rPr>
          <w:rFonts w:hint="eastAsia"/>
          <w:color w:val="auto"/>
          <w:lang w:val="en-US" w:eastAsia="zh-CN"/>
        </w:rPr>
        <w:t>，处罚期限届满的除外</w:t>
      </w:r>
      <w:r>
        <w:rPr>
          <w:color w:val="auto"/>
          <w:lang w:val="en-US" w:eastAsia="zh-CN"/>
        </w:rPr>
        <w:t> 。同时提供对信用信息记录</w:t>
      </w:r>
      <w:r>
        <w:rPr>
          <w:rFonts w:hint="eastAsia"/>
          <w:color w:val="auto"/>
          <w:szCs w:val="21"/>
        </w:rPr>
        <w:t>查询结果打印页面</w:t>
      </w:r>
      <w:r>
        <w:rPr>
          <w:rFonts w:hint="eastAsia"/>
          <w:color w:val="auto"/>
          <w:lang w:val="en-US" w:eastAsia="zh-CN"/>
        </w:rPr>
        <w:t>并加盖公章</w:t>
      </w:r>
      <w:r>
        <w:rPr>
          <w:rFonts w:hint="eastAsia"/>
          <w:color w:val="auto"/>
          <w:szCs w:val="21"/>
          <w:lang w:eastAsia="zh-CN"/>
        </w:rPr>
        <w:t>。</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ascii="宋体" w:hAnsi="宋体"/>
          <w:color w:val="auto"/>
          <w:lang w:val="en-US" w:eastAsia="zh-CN"/>
        </w:rPr>
      </w:pPr>
      <w:r>
        <w:rPr>
          <w:rFonts w:hint="eastAsia" w:ascii="宋体" w:hAnsi="宋体"/>
          <w:color w:val="auto"/>
          <w:lang w:val="en-US" w:eastAsia="zh-CN"/>
        </w:rPr>
        <w:t>6、为采购项目提供整体设计、规范编制或者项目管理、监理、检测等服务的供应商，不得再参加该采购项目的其他采购活动。（提供《承诺书》）</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color w:val="auto"/>
          <w:szCs w:val="21"/>
          <w:lang w:eastAsia="zh-CN"/>
        </w:rPr>
      </w:pPr>
      <w:r>
        <w:rPr>
          <w:rFonts w:hint="eastAsia" w:ascii="宋体" w:hAnsi="宋体"/>
          <w:color w:val="auto"/>
          <w:lang w:val="en-US" w:eastAsia="zh-CN"/>
        </w:rPr>
        <w:t>7、</w:t>
      </w:r>
      <w:r>
        <w:rPr>
          <w:rFonts w:hint="eastAsia" w:ascii="宋体" w:hAnsi="宋体" w:eastAsia="宋体" w:cs="宋体"/>
          <w:color w:val="auto"/>
          <w:szCs w:val="21"/>
        </w:rPr>
        <w:t>单位负责人为同一人或者存在直接控股、管理关系的不同供应商，不得参加同一合同项下的政府采购活动（以国家企业信用信息公示系统www.gsxt.gov.cn查询结果为准）</w:t>
      </w:r>
      <w:r>
        <w:rPr>
          <w:rFonts w:hint="eastAsia" w:ascii="宋体" w:hAnsi="宋体" w:eastAsia="宋体" w:cs="宋体"/>
          <w:color w:val="auto"/>
          <w:szCs w:val="21"/>
          <w:lang w:eastAsia="zh-CN"/>
        </w:rPr>
        <w:t>。</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ascii="宋体" w:hAnsi="宋体"/>
          <w:color w:val="auto"/>
        </w:rPr>
      </w:pPr>
      <w:r>
        <w:rPr>
          <w:rFonts w:hint="eastAsia" w:ascii="宋体" w:hAnsi="宋体"/>
          <w:color w:val="auto"/>
          <w:lang w:val="en-US" w:eastAsia="zh-CN"/>
        </w:rPr>
        <w:t>8</w:t>
      </w:r>
      <w:r>
        <w:rPr>
          <w:rFonts w:hint="eastAsia" w:ascii="宋体" w:hAnsi="宋体"/>
          <w:color w:val="auto"/>
        </w:rPr>
        <w:t>、符合《中华人民共和国政府采购法》第二十二条的规定。</w:t>
      </w:r>
    </w:p>
    <w:p>
      <w:pPr>
        <w:spacing w:line="480" w:lineRule="exact"/>
        <w:rPr>
          <w:rFonts w:hint="eastAsia" w:ascii="宋体" w:hAnsi="宋体"/>
          <w:color w:val="auto"/>
          <w:szCs w:val="21"/>
          <w:lang w:val="en-US" w:eastAsia="zh-CN"/>
        </w:rPr>
      </w:pPr>
      <w:r>
        <w:rPr>
          <w:rFonts w:hint="eastAsia" w:ascii="宋体" w:hAnsi="宋体"/>
          <w:color w:val="auto"/>
          <w:lang w:val="en-US" w:eastAsia="zh-CN"/>
        </w:rPr>
        <w:t>9</w:t>
      </w:r>
      <w:r>
        <w:rPr>
          <w:rFonts w:hint="eastAsia" w:ascii="宋体" w:hAnsi="宋体"/>
          <w:color w:val="auto"/>
        </w:rPr>
        <w:t>、</w:t>
      </w:r>
      <w:r>
        <w:rPr>
          <w:rFonts w:ascii="宋体" w:hAnsi="宋体"/>
          <w:color w:val="auto"/>
        </w:rPr>
        <w:t>本项目</w:t>
      </w:r>
      <w:r>
        <w:rPr>
          <w:rFonts w:hint="eastAsia" w:ascii="宋体" w:hAnsi="宋体"/>
          <w:color w:val="auto"/>
        </w:rPr>
        <w:t>不接受</w:t>
      </w:r>
      <w:r>
        <w:rPr>
          <w:rFonts w:ascii="宋体" w:hAnsi="宋体"/>
          <w:color w:val="auto"/>
        </w:rPr>
        <w:t>联合体投标。</w:t>
      </w:r>
    </w:p>
    <w:p>
      <w:pPr>
        <w:adjustRightInd w:val="0"/>
        <w:snapToGrid w:val="0"/>
        <w:spacing w:line="480" w:lineRule="exact"/>
        <w:rPr>
          <w:rFonts w:ascii="宋体" w:hAnsi="宋体" w:cs="Arial"/>
          <w:color w:val="auto"/>
        </w:rPr>
      </w:pPr>
      <w:r>
        <w:rPr>
          <w:rFonts w:hint="eastAsia" w:ascii="宋体" w:hAnsi="宋体" w:cs="Arial"/>
          <w:color w:val="auto"/>
        </w:rPr>
        <w:t>符合以上要求的供应商，磋商小组以公开报名的方式确定其报价资格。</w:t>
      </w:r>
    </w:p>
    <w:p>
      <w:pPr>
        <w:adjustRightInd w:val="0"/>
        <w:snapToGrid w:val="0"/>
        <w:spacing w:line="480" w:lineRule="exact"/>
        <w:outlineLvl w:val="0"/>
        <w:rPr>
          <w:rFonts w:ascii="宋体" w:hAnsi="宋体" w:cs="Tahoma"/>
          <w:b/>
          <w:color w:val="auto"/>
        </w:rPr>
      </w:pPr>
      <w:r>
        <w:rPr>
          <w:rFonts w:hint="eastAsia" w:ascii="宋体" w:hAnsi="宋体" w:cs="Tahoma"/>
          <w:b/>
          <w:color w:val="auto"/>
        </w:rPr>
        <w:t>三、获取磋商文件的时间、地点、方式及磋商文件售价</w:t>
      </w:r>
    </w:p>
    <w:p>
      <w:pPr>
        <w:snapToGrid w:val="0"/>
        <w:spacing w:line="480" w:lineRule="exact"/>
        <w:ind w:firstLine="210" w:firstLineChars="100"/>
        <w:rPr>
          <w:rFonts w:ascii="宋体" w:hAnsi="宋体" w:cs="Tahoma"/>
          <w:color w:val="auto"/>
        </w:rPr>
      </w:pPr>
      <w:r>
        <w:rPr>
          <w:rFonts w:hint="eastAsia" w:ascii="宋体" w:hAnsi="宋体" w:cs="Tahoma"/>
          <w:color w:val="auto"/>
        </w:rPr>
        <w:t>1、获取磋商文件</w:t>
      </w:r>
      <w:r>
        <w:rPr>
          <w:rFonts w:ascii="宋体" w:hAnsi="宋体" w:cs="Tahoma"/>
          <w:color w:val="auto"/>
        </w:rPr>
        <w:t>时间：</w:t>
      </w:r>
      <w:r>
        <w:rPr>
          <w:rFonts w:hint="eastAsia" w:ascii="宋体" w:hAnsi="宋体" w:cs="Tahoma"/>
          <w:color w:val="auto"/>
          <w:kern w:val="28"/>
        </w:rPr>
        <w:t>201</w:t>
      </w:r>
      <w:r>
        <w:rPr>
          <w:rFonts w:hint="eastAsia" w:ascii="宋体" w:hAnsi="宋体" w:cs="Tahoma"/>
          <w:color w:val="auto"/>
          <w:kern w:val="28"/>
          <w:lang w:val="en-US" w:eastAsia="zh-CN"/>
        </w:rPr>
        <w:t>8</w:t>
      </w:r>
      <w:r>
        <w:rPr>
          <w:rFonts w:hint="eastAsia" w:ascii="宋体" w:hAnsi="宋体" w:cs="Tahoma"/>
          <w:color w:val="auto"/>
          <w:kern w:val="28"/>
        </w:rPr>
        <w:t>年</w:t>
      </w:r>
      <w:r>
        <w:rPr>
          <w:rFonts w:hint="eastAsia" w:ascii="宋体" w:hAnsi="宋体" w:cs="Tahoma"/>
          <w:color w:val="auto"/>
          <w:kern w:val="28"/>
          <w:lang w:val="en-US" w:eastAsia="zh-CN"/>
        </w:rPr>
        <w:t>2</w:t>
      </w:r>
      <w:r>
        <w:rPr>
          <w:rFonts w:hint="eastAsia" w:ascii="宋体" w:hAnsi="宋体" w:cs="Tahoma"/>
          <w:color w:val="auto"/>
          <w:kern w:val="28"/>
        </w:rPr>
        <w:t>月</w:t>
      </w:r>
      <w:r>
        <w:rPr>
          <w:rFonts w:hint="eastAsia" w:ascii="宋体" w:hAnsi="宋体" w:cs="Tahoma"/>
          <w:color w:val="auto"/>
          <w:kern w:val="28"/>
          <w:lang w:val="en-US" w:eastAsia="zh-CN"/>
        </w:rPr>
        <w:t>5</w:t>
      </w:r>
      <w:r>
        <w:rPr>
          <w:rFonts w:hint="eastAsia" w:ascii="宋体" w:hAnsi="宋体" w:cs="Tahoma"/>
          <w:color w:val="auto"/>
          <w:kern w:val="28"/>
        </w:rPr>
        <w:t>日至201</w:t>
      </w:r>
      <w:r>
        <w:rPr>
          <w:rFonts w:hint="eastAsia" w:ascii="宋体" w:hAnsi="宋体" w:cs="Tahoma"/>
          <w:color w:val="auto"/>
          <w:kern w:val="28"/>
          <w:lang w:val="en-US" w:eastAsia="zh-CN"/>
        </w:rPr>
        <w:t>8</w:t>
      </w:r>
      <w:r>
        <w:rPr>
          <w:rFonts w:hint="eastAsia" w:ascii="宋体" w:hAnsi="宋体" w:cs="Tahoma"/>
          <w:color w:val="auto"/>
          <w:kern w:val="28"/>
        </w:rPr>
        <w:t>年</w:t>
      </w:r>
      <w:r>
        <w:rPr>
          <w:rFonts w:hint="eastAsia" w:ascii="宋体" w:hAnsi="宋体" w:cs="Tahoma"/>
          <w:color w:val="auto"/>
          <w:kern w:val="28"/>
          <w:lang w:val="en-US" w:eastAsia="zh-CN"/>
        </w:rPr>
        <w:t>2</w:t>
      </w:r>
      <w:r>
        <w:rPr>
          <w:rFonts w:hint="eastAsia" w:ascii="宋体" w:hAnsi="宋体" w:cs="Tahoma"/>
          <w:color w:val="auto"/>
          <w:kern w:val="28"/>
        </w:rPr>
        <w:t>月</w:t>
      </w:r>
      <w:r>
        <w:rPr>
          <w:rFonts w:hint="eastAsia" w:ascii="宋体" w:hAnsi="宋体" w:cs="Tahoma"/>
          <w:color w:val="auto"/>
          <w:kern w:val="28"/>
          <w:lang w:val="en-US" w:eastAsia="zh-CN"/>
        </w:rPr>
        <w:t>9</w:t>
      </w:r>
      <w:r>
        <w:rPr>
          <w:rFonts w:hint="eastAsia" w:ascii="宋体" w:hAnsi="宋体" w:cs="Tahoma"/>
          <w:color w:val="auto"/>
          <w:kern w:val="28"/>
        </w:rPr>
        <w:t>日08：30-17：30（工作时间）。</w:t>
      </w:r>
    </w:p>
    <w:p>
      <w:pPr>
        <w:snapToGrid w:val="0"/>
        <w:spacing w:line="480" w:lineRule="exact"/>
        <w:ind w:firstLine="210" w:firstLineChars="100"/>
        <w:rPr>
          <w:rFonts w:ascii="宋体" w:hAnsi="宋体" w:cs="Tahoma"/>
          <w:color w:val="auto"/>
        </w:rPr>
      </w:pPr>
      <w:r>
        <w:rPr>
          <w:rFonts w:hint="eastAsia" w:ascii="宋体" w:hAnsi="宋体" w:cs="Tahoma"/>
          <w:color w:val="auto"/>
        </w:rPr>
        <w:t>2、获取磋商文件地点：广东省云浮市云城区城中路110号三楼(果留香楼上)</w:t>
      </w:r>
    </w:p>
    <w:p>
      <w:pPr>
        <w:snapToGrid w:val="0"/>
        <w:spacing w:line="480" w:lineRule="exact"/>
        <w:ind w:firstLine="210" w:firstLineChars="100"/>
        <w:rPr>
          <w:rFonts w:ascii="宋体" w:hAnsi="宋体" w:cs="Tahoma"/>
          <w:color w:val="auto"/>
        </w:rPr>
      </w:pPr>
      <w:r>
        <w:rPr>
          <w:rFonts w:hint="eastAsia" w:ascii="宋体" w:hAnsi="宋体" w:cs="Tahoma"/>
          <w:color w:val="auto"/>
        </w:rPr>
        <w:t>3、获取磋商文件方式：现场购买，不予邮寄。</w:t>
      </w:r>
    </w:p>
    <w:p>
      <w:pPr>
        <w:spacing w:line="480" w:lineRule="exact"/>
        <w:rPr>
          <w:color w:val="auto"/>
        </w:rPr>
      </w:pPr>
      <w:r>
        <w:rPr>
          <w:rFonts w:hint="eastAsia"/>
          <w:color w:val="auto"/>
        </w:rPr>
        <w:t xml:space="preserve">  4、报名时报价人需提交：</w:t>
      </w:r>
    </w:p>
    <w:p>
      <w:pPr>
        <w:spacing w:line="480" w:lineRule="exact"/>
        <w:rPr>
          <w:rFonts w:hint="eastAsia"/>
          <w:color w:val="auto"/>
        </w:rPr>
      </w:pPr>
      <w:r>
        <w:rPr>
          <w:rFonts w:hint="eastAsia"/>
          <w:color w:val="auto"/>
          <w:lang w:val="en-US" w:eastAsia="zh-CN"/>
        </w:rPr>
        <w:t>4.1</w:t>
      </w:r>
      <w:r>
        <w:rPr>
          <w:rFonts w:hint="eastAsia"/>
          <w:color w:val="auto"/>
        </w:rPr>
        <w:t>经年审的企业法人营业执照、税务登记证副本（国、地）、企业组织机构代码证等证明文件复印件</w:t>
      </w:r>
      <w:r>
        <w:rPr>
          <w:rFonts w:hint="eastAsia" w:ascii="宋体" w:hAnsi="宋体"/>
          <w:color w:val="auto"/>
          <w:lang w:val="en-US" w:eastAsia="zh-CN"/>
        </w:rPr>
        <w:t>(</w:t>
      </w:r>
      <w:r>
        <w:rPr>
          <w:rFonts w:ascii="宋体" w:hAnsi="宋体" w:cs="宋体"/>
          <w:color w:val="auto"/>
          <w:kern w:val="0"/>
          <w:szCs w:val="21"/>
        </w:rPr>
        <w:t>如已经办理三证合一的，只需提供统一社会信用代码的营业执照）</w:t>
      </w:r>
      <w:r>
        <w:rPr>
          <w:rFonts w:hint="eastAsia"/>
          <w:color w:val="auto"/>
        </w:rPr>
        <w:t>；</w:t>
      </w:r>
    </w:p>
    <w:p>
      <w:pPr>
        <w:spacing w:line="480" w:lineRule="exact"/>
        <w:rPr>
          <w:rFonts w:hint="eastAsia"/>
          <w:color w:val="auto"/>
        </w:rPr>
      </w:pPr>
      <w:r>
        <w:rPr>
          <w:rFonts w:hint="eastAsia"/>
          <w:color w:val="auto"/>
          <w:lang w:val="en-US" w:eastAsia="zh-CN"/>
        </w:rPr>
        <w:t>4.2</w:t>
      </w:r>
      <w:r>
        <w:rPr>
          <w:rFonts w:hint="eastAsia"/>
          <w:color w:val="auto"/>
        </w:rPr>
        <w:t>法人、被授权人身份证复印件、法人资格证明书原件、法人委托授权书原件</w:t>
      </w:r>
      <w:r>
        <w:rPr>
          <w:rFonts w:hint="eastAsia"/>
          <w:color w:val="auto"/>
          <w:lang w:eastAsia="zh-CN"/>
        </w:rPr>
        <w:t>；</w:t>
      </w:r>
    </w:p>
    <w:p>
      <w:pPr>
        <w:spacing w:line="480" w:lineRule="exact"/>
        <w:rPr>
          <w:rFonts w:hint="eastAsia"/>
          <w:color w:val="auto"/>
          <w:szCs w:val="21"/>
          <w:lang w:eastAsia="zh-CN"/>
        </w:rPr>
      </w:pPr>
      <w:r>
        <w:rPr>
          <w:rFonts w:hint="eastAsia"/>
          <w:color w:val="auto"/>
          <w:lang w:val="en-US" w:eastAsia="zh-CN"/>
        </w:rPr>
        <w:t>4.3</w:t>
      </w:r>
      <w:r>
        <w:rPr>
          <w:rFonts w:hint="eastAsia"/>
          <w:color w:val="auto"/>
          <w:szCs w:val="21"/>
        </w:rPr>
        <w:t>提供</w:t>
      </w:r>
      <w:r>
        <w:rPr>
          <w:rFonts w:hint="eastAsia"/>
          <w:color w:val="auto"/>
          <w:szCs w:val="21"/>
          <w:lang w:eastAsia="zh-CN"/>
        </w:rPr>
        <w:t>报价人</w:t>
      </w:r>
      <w:r>
        <w:rPr>
          <w:rFonts w:hint="eastAsia"/>
          <w:color w:val="auto"/>
          <w:szCs w:val="21"/>
        </w:rPr>
        <w:t>住所地或者业务发生地人民检察院出具的无行贿犯罪档案查询结果告知函【自出具之日起前</w:t>
      </w:r>
      <w:r>
        <w:rPr>
          <w:color w:val="auto"/>
          <w:szCs w:val="21"/>
        </w:rPr>
        <w:t>3</w:t>
      </w:r>
      <w:r>
        <w:rPr>
          <w:rFonts w:hint="eastAsia"/>
          <w:color w:val="auto"/>
          <w:szCs w:val="21"/>
        </w:rPr>
        <w:t>年内无行贿犯罪档案记录，若</w:t>
      </w:r>
      <w:r>
        <w:rPr>
          <w:rFonts w:hint="eastAsia"/>
          <w:color w:val="auto"/>
          <w:szCs w:val="21"/>
          <w:lang w:eastAsia="zh-CN"/>
        </w:rPr>
        <w:t>报价人</w:t>
      </w:r>
      <w:r>
        <w:rPr>
          <w:rFonts w:hint="eastAsia"/>
          <w:color w:val="auto"/>
          <w:szCs w:val="21"/>
        </w:rPr>
        <w:t>自成立之日起不足</w:t>
      </w:r>
      <w:r>
        <w:rPr>
          <w:color w:val="auto"/>
          <w:szCs w:val="21"/>
        </w:rPr>
        <w:t>3</w:t>
      </w:r>
      <w:r>
        <w:rPr>
          <w:rFonts w:hint="eastAsia"/>
          <w:color w:val="auto"/>
          <w:szCs w:val="21"/>
        </w:rPr>
        <w:t>年的，则出具自成立之日起至出具之日无行贿犯罪档案纪录。无行贿犯罪档案查询结果告知函有效期自出具之日</w:t>
      </w:r>
      <w:r>
        <w:rPr>
          <w:color w:val="auto"/>
          <w:szCs w:val="21"/>
        </w:rPr>
        <w:t>2</w:t>
      </w:r>
      <w:r>
        <w:rPr>
          <w:rFonts w:hint="eastAsia"/>
          <w:color w:val="auto"/>
          <w:szCs w:val="21"/>
        </w:rPr>
        <w:t>个月内有效，开标时间必须在有效期内，报名时提供复印件并加盖公章，原件核查。</w:t>
      </w:r>
      <w:r>
        <w:rPr>
          <w:rFonts w:hint="eastAsia" w:ascii="宋体" w:hAnsi="宋体"/>
          <w:color w:val="auto"/>
        </w:rPr>
        <w:t>投标时</w:t>
      </w:r>
      <w:r>
        <w:rPr>
          <w:rFonts w:hint="eastAsia" w:ascii="宋体" w:hAnsi="宋体"/>
          <w:color w:val="auto"/>
          <w:lang w:eastAsia="zh-CN"/>
        </w:rPr>
        <w:t>随投标文件将原件放在正本中</w:t>
      </w:r>
      <w:r>
        <w:rPr>
          <w:rFonts w:hint="eastAsia" w:ascii="宋体" w:hAnsi="宋体"/>
          <w:color w:val="auto"/>
        </w:rPr>
        <w:t>。</w:t>
      </w:r>
      <w:r>
        <w:rPr>
          <w:rFonts w:hint="eastAsia"/>
          <w:color w:val="auto"/>
          <w:szCs w:val="21"/>
        </w:rPr>
        <w:t>】</w:t>
      </w:r>
      <w:r>
        <w:rPr>
          <w:rFonts w:hint="eastAsia"/>
          <w:color w:val="auto"/>
          <w:szCs w:val="21"/>
          <w:lang w:eastAsia="zh-CN"/>
        </w:rPr>
        <w:t>；</w:t>
      </w:r>
    </w:p>
    <w:p>
      <w:pPr>
        <w:spacing w:line="480" w:lineRule="exact"/>
        <w:rPr>
          <w:rFonts w:hint="eastAsia" w:ascii="宋体" w:hAnsi="宋体" w:cs="宋体"/>
          <w:color w:val="auto"/>
          <w:kern w:val="1"/>
          <w:szCs w:val="21"/>
          <w:lang w:val="en-US" w:eastAsia="zh-CN"/>
        </w:rPr>
      </w:pPr>
      <w:r>
        <w:rPr>
          <w:rFonts w:hint="eastAsia"/>
          <w:color w:val="auto"/>
          <w:szCs w:val="21"/>
          <w:lang w:val="en-US" w:eastAsia="zh-CN"/>
        </w:rPr>
        <w:t>4.4</w:t>
      </w:r>
      <w:r>
        <w:rPr>
          <w:rFonts w:hint="eastAsia" w:ascii="宋体" w:hAnsi="宋体"/>
          <w:color w:val="auto"/>
          <w:sz w:val="21"/>
          <w:szCs w:val="21"/>
        </w:rPr>
        <w:t>单位负责人为同一人或者存在直接控股、管理关系的不同供应商，不得参加同一合同项下的政府采购活动（以国家企业信用信息公示系统www.gsxt.gov.cn查询结果为准）</w:t>
      </w:r>
      <w:r>
        <w:rPr>
          <w:rFonts w:hint="eastAsia" w:ascii="宋体" w:hAnsi="宋体"/>
          <w:color w:val="auto"/>
          <w:sz w:val="21"/>
          <w:szCs w:val="21"/>
          <w:lang w:eastAsia="zh-CN"/>
        </w:rPr>
        <w:t>。</w:t>
      </w:r>
    </w:p>
    <w:p>
      <w:pPr>
        <w:spacing w:line="480" w:lineRule="exact"/>
        <w:rPr>
          <w:rFonts w:hint="eastAsia"/>
          <w:color w:val="auto"/>
          <w:szCs w:val="21"/>
          <w:lang w:eastAsia="zh-CN"/>
        </w:rPr>
      </w:pPr>
      <w:r>
        <w:rPr>
          <w:rFonts w:hint="eastAsia" w:ascii="宋体" w:hAnsi="宋体" w:cs="宋体"/>
          <w:color w:val="auto"/>
          <w:kern w:val="1"/>
          <w:szCs w:val="21"/>
          <w:lang w:val="en-US" w:eastAsia="zh-CN"/>
        </w:rPr>
        <w:t>4.5</w:t>
      </w:r>
      <w:r>
        <w:rPr>
          <w:rFonts w:hint="eastAsia"/>
          <w:color w:val="auto"/>
          <w:szCs w:val="21"/>
        </w:rPr>
        <w:t xml:space="preserve">在“信用中国网站”（ </w:t>
      </w:r>
      <w:r>
        <w:rPr>
          <w:rFonts w:hint="eastAsia"/>
          <w:color w:val="auto"/>
          <w:szCs w:val="21"/>
          <w:u w:val="none"/>
        </w:rPr>
        <w:t>www.creditchina.gov.cn）“信用信息”查询情况证明（提供网站的信用</w:t>
      </w:r>
      <w:r>
        <w:rPr>
          <w:rFonts w:hint="eastAsia"/>
          <w:color w:val="auto"/>
          <w:szCs w:val="21"/>
          <w:u w:val="none"/>
          <w:lang w:val="en-US" w:eastAsia="zh-CN"/>
        </w:rPr>
        <w:t>信息</w:t>
      </w:r>
      <w:r>
        <w:rPr>
          <w:rFonts w:hint="eastAsia"/>
          <w:color w:val="auto"/>
          <w:szCs w:val="21"/>
          <w:u w:val="none"/>
        </w:rPr>
        <w:t>记录查询结果打印页面</w:t>
      </w:r>
      <w:r>
        <w:rPr>
          <w:rFonts w:hint="eastAsia"/>
          <w:color w:val="auto"/>
          <w:szCs w:val="21"/>
          <w:u w:val="none"/>
          <w:lang w:val="en-US" w:eastAsia="zh-CN"/>
        </w:rPr>
        <w:t>并加盖公章</w:t>
      </w:r>
      <w:r>
        <w:rPr>
          <w:rFonts w:hint="eastAsia"/>
          <w:color w:val="auto"/>
          <w:szCs w:val="21"/>
          <w:u w:val="none"/>
        </w:rPr>
        <w:t>）</w:t>
      </w:r>
      <w:r>
        <w:rPr>
          <w:rFonts w:hint="eastAsia"/>
          <w:color w:val="auto"/>
          <w:szCs w:val="21"/>
          <w:u w:val="none"/>
          <w:lang w:eastAsia="zh-CN"/>
        </w:rPr>
        <w:t>。</w:t>
      </w:r>
    </w:p>
    <w:p>
      <w:pPr>
        <w:spacing w:line="480" w:lineRule="exact"/>
        <w:rPr>
          <w:rFonts w:hint="eastAsia" w:ascii="宋体" w:hAnsi="宋体"/>
          <w:color w:val="auto"/>
          <w:lang w:val="en-US" w:eastAsia="zh-CN"/>
        </w:rPr>
      </w:pPr>
      <w:r>
        <w:rPr>
          <w:rFonts w:hint="eastAsia" w:ascii="宋体" w:hAnsi="宋体"/>
          <w:color w:val="auto"/>
          <w:lang w:val="en-US" w:eastAsia="zh-CN"/>
        </w:rPr>
        <w:t>4.6为采购项目提供整体设计、规范编制或者项目管理、监理、检测等服务的供应商，不得再参加该采购项目的其他采购活动。（提供《承诺书》）</w:t>
      </w:r>
    </w:p>
    <w:p>
      <w:pPr>
        <w:spacing w:line="480" w:lineRule="exact"/>
        <w:rPr>
          <w:rFonts w:hint="eastAsia"/>
          <w:color w:val="auto"/>
          <w:szCs w:val="21"/>
          <w:lang w:val="hr-HR"/>
        </w:rPr>
      </w:pPr>
      <w:r>
        <w:rPr>
          <w:rFonts w:hint="eastAsia"/>
          <w:color w:val="auto"/>
          <w:szCs w:val="21"/>
          <w:lang w:val="en-US" w:eastAsia="zh-CN"/>
        </w:rPr>
        <w:t>4.7</w:t>
      </w:r>
      <w:r>
        <w:rPr>
          <w:rFonts w:hint="eastAsia"/>
          <w:color w:val="auto"/>
          <w:szCs w:val="21"/>
          <w:lang w:val="hr-HR" w:eastAsia="zh-CN"/>
        </w:rPr>
        <w:t>报价人必须具有建设行政主管部门颁发的工程造价咨询机构乙级或以上资质证书</w:t>
      </w:r>
      <w:r>
        <w:rPr>
          <w:rFonts w:hint="eastAsia"/>
          <w:color w:val="auto"/>
          <w:szCs w:val="21"/>
          <w:lang w:val="hr-HR"/>
        </w:rPr>
        <w:t>；</w:t>
      </w:r>
    </w:p>
    <w:p>
      <w:pPr>
        <w:widowControl w:val="0"/>
        <w:spacing w:line="480" w:lineRule="exact"/>
        <w:jc w:val="both"/>
        <w:rPr>
          <w:rFonts w:hint="eastAsia"/>
          <w:color w:val="auto"/>
          <w:szCs w:val="21"/>
        </w:rPr>
      </w:pPr>
      <w:r>
        <w:rPr>
          <w:rFonts w:hint="eastAsia"/>
          <w:color w:val="auto"/>
          <w:szCs w:val="21"/>
          <w:lang w:val="en-US" w:eastAsia="zh-CN"/>
        </w:rPr>
        <w:t>4.8</w:t>
      </w:r>
      <w:r>
        <w:rPr>
          <w:rFonts w:hint="eastAsia" w:ascii="宋体" w:hAnsi="宋体"/>
          <w:color w:val="auto"/>
          <w:szCs w:val="21"/>
          <w:lang w:eastAsia="zh-CN"/>
        </w:rPr>
        <w:t>报价人</w:t>
      </w:r>
      <w:r>
        <w:rPr>
          <w:rFonts w:hint="eastAsia" w:ascii="宋体" w:hAnsi="宋体"/>
          <w:color w:val="auto"/>
          <w:szCs w:val="21"/>
        </w:rPr>
        <w:t>必须在云浮市范围内设有依法登记的分公司或子公司机构或固定办公场所(必须提供有效证明文件）</w:t>
      </w:r>
      <w:r>
        <w:rPr>
          <w:rFonts w:hint="eastAsia"/>
          <w:color w:val="auto"/>
          <w:szCs w:val="21"/>
        </w:rPr>
        <w:t>。</w:t>
      </w:r>
    </w:p>
    <w:p>
      <w:pPr>
        <w:spacing w:line="480" w:lineRule="exact"/>
        <w:rPr>
          <w:rFonts w:hint="eastAsia" w:ascii="宋体" w:hAnsi="宋体"/>
          <w:color w:val="auto"/>
          <w:lang w:val="en-US" w:eastAsia="zh-CN"/>
        </w:rPr>
      </w:pPr>
      <w:r>
        <w:rPr>
          <w:rFonts w:hint="eastAsia"/>
          <w:color w:val="auto"/>
          <w:szCs w:val="21"/>
          <w:lang w:val="en-US" w:eastAsia="zh-CN"/>
        </w:rPr>
        <w:t>4.9</w:t>
      </w:r>
      <w:r>
        <w:rPr>
          <w:rFonts w:hint="eastAsia" w:ascii="宋体" w:hAnsi="宋体"/>
          <w:color w:val="auto"/>
          <w:szCs w:val="21"/>
          <w:lang w:val="hr-HR" w:eastAsia="zh-CN"/>
        </w:rPr>
        <w:t>报价人</w:t>
      </w:r>
      <w:r>
        <w:rPr>
          <w:rFonts w:hint="eastAsia" w:ascii="宋体" w:hAnsi="宋体"/>
          <w:color w:val="auto"/>
          <w:szCs w:val="21"/>
          <w:lang w:val="hr-HR"/>
        </w:rPr>
        <w:t>具有云浮市（区）建设行政主管部门颁发的有效的《云浮市建筑行业诚信手册》，有效是指诚信管理系统状态显示为“正常”。《云浮市建筑行业诚信手册》的有效范围是最新</w:t>
      </w:r>
      <w:r>
        <w:rPr>
          <w:rFonts w:hint="eastAsia" w:ascii="宋体" w:hAnsi="宋体"/>
          <w:color w:val="auto"/>
          <w:szCs w:val="21"/>
        </w:rPr>
        <w:t>年度考评结论为C或以上的</w:t>
      </w:r>
      <w:r>
        <w:rPr>
          <w:rFonts w:hint="eastAsia" w:ascii="宋体" w:hAnsi="宋体"/>
          <w:color w:val="auto"/>
          <w:szCs w:val="21"/>
          <w:lang w:eastAsia="zh-CN"/>
        </w:rPr>
        <w:t>。</w:t>
      </w:r>
    </w:p>
    <w:p>
      <w:pPr>
        <w:snapToGrid w:val="0"/>
        <w:spacing w:line="480" w:lineRule="exact"/>
        <w:rPr>
          <w:color w:val="auto"/>
        </w:rPr>
      </w:pPr>
      <w:r>
        <w:rPr>
          <w:rFonts w:hint="eastAsia"/>
          <w:color w:val="auto"/>
        </w:rPr>
        <w:t>以上提交的资料均需盖公章</w:t>
      </w:r>
      <w:r>
        <w:rPr>
          <w:rFonts w:hint="eastAsia"/>
          <w:color w:val="auto"/>
          <w:lang w:eastAsia="zh-CN"/>
        </w:rPr>
        <w:t>，</w:t>
      </w:r>
      <w:r>
        <w:rPr>
          <w:rFonts w:hint="eastAsia"/>
          <w:color w:val="auto"/>
        </w:rPr>
        <w:t>采购代理机构只接收提供完整报名资料供应商的报名</w:t>
      </w:r>
      <w:r>
        <w:rPr>
          <w:rFonts w:hint="eastAsia"/>
          <w:color w:val="auto"/>
        </w:rPr>
        <w:t>。</w:t>
      </w:r>
    </w:p>
    <w:p>
      <w:pPr>
        <w:snapToGrid w:val="0"/>
        <w:spacing w:line="480" w:lineRule="exact"/>
        <w:rPr>
          <w:color w:val="auto"/>
        </w:rPr>
      </w:pPr>
      <w:r>
        <w:rPr>
          <w:rFonts w:hint="eastAsia" w:ascii="宋体" w:hAnsi="宋体" w:cs="Tahoma"/>
          <w:color w:val="auto"/>
        </w:rPr>
        <w:t>5、</w:t>
      </w:r>
      <w:r>
        <w:rPr>
          <w:rFonts w:hint="eastAsia" w:ascii="宋体" w:hAnsi="宋体" w:cs="Tahoma"/>
          <w:color w:val="auto"/>
          <w:lang w:val="en-US" w:eastAsia="zh-CN"/>
        </w:rPr>
        <w:t>报名费</w:t>
      </w:r>
      <w:r>
        <w:rPr>
          <w:rFonts w:ascii="宋体" w:hAnsi="宋体" w:cs="Tahoma"/>
          <w:color w:val="auto"/>
        </w:rPr>
        <w:t>：</w:t>
      </w:r>
      <w:r>
        <w:rPr>
          <w:rFonts w:ascii="宋体" w:hAnsi="宋体"/>
          <w:color w:val="auto"/>
        </w:rPr>
        <w:t>人民币</w:t>
      </w:r>
      <w:r>
        <w:rPr>
          <w:rFonts w:hint="eastAsia" w:ascii="宋体" w:hAnsi="宋体"/>
          <w:color w:val="auto"/>
          <w:lang w:val="en-US" w:eastAsia="zh-CN"/>
        </w:rPr>
        <w:t>200</w:t>
      </w:r>
      <w:r>
        <w:rPr>
          <w:rFonts w:ascii="宋体" w:hAnsi="宋体"/>
          <w:color w:val="auto"/>
        </w:rPr>
        <w:t>元</w:t>
      </w:r>
      <w:r>
        <w:rPr>
          <w:rFonts w:hint="eastAsia" w:ascii="宋体" w:hAnsi="宋体"/>
          <w:color w:val="auto"/>
          <w:lang w:eastAsia="zh-CN"/>
        </w:rPr>
        <w:t>。</w:t>
      </w:r>
    </w:p>
    <w:p>
      <w:pPr>
        <w:snapToGrid w:val="0"/>
        <w:spacing w:line="480" w:lineRule="exact"/>
        <w:ind w:firstLine="211" w:firstLineChars="100"/>
        <w:rPr>
          <w:rFonts w:ascii="宋体" w:hAnsi="宋体"/>
          <w:color w:val="auto"/>
        </w:rPr>
      </w:pPr>
      <w:r>
        <w:rPr>
          <w:rFonts w:hint="eastAsia"/>
          <w:b/>
          <w:bCs/>
          <w:color w:val="auto"/>
        </w:rPr>
        <w:t>（备注：供应商获取了本磋商文件并非意味着满足了合格、有效报价人的基本条件，一切均以评标委员会共同评定确认的结果为准，以上资料须放入报价文件中。）</w:t>
      </w:r>
    </w:p>
    <w:p>
      <w:pPr>
        <w:snapToGrid w:val="0"/>
        <w:spacing w:line="480" w:lineRule="exact"/>
        <w:outlineLvl w:val="0"/>
        <w:rPr>
          <w:rFonts w:ascii="宋体" w:hAnsi="宋体" w:cs="Tahoma"/>
          <w:b/>
          <w:color w:val="auto"/>
        </w:rPr>
      </w:pPr>
      <w:r>
        <w:rPr>
          <w:rFonts w:hint="eastAsia" w:ascii="宋体" w:hAnsi="宋体" w:cs="Tahoma"/>
          <w:b/>
          <w:color w:val="auto"/>
        </w:rPr>
        <w:t>四、报价截止时间、磋商时间及地点</w:t>
      </w:r>
    </w:p>
    <w:p>
      <w:pPr>
        <w:snapToGrid w:val="0"/>
        <w:spacing w:line="480" w:lineRule="exact"/>
        <w:rPr>
          <w:rFonts w:ascii="宋体" w:hAnsi="宋体" w:cs="Tahoma"/>
          <w:color w:val="auto"/>
        </w:rPr>
      </w:pPr>
      <w:r>
        <w:rPr>
          <w:rFonts w:hint="eastAsia" w:ascii="宋体" w:hAnsi="宋体" w:cs="Tahoma"/>
          <w:color w:val="auto"/>
        </w:rPr>
        <w:t>1、递交报价文件时间：201</w:t>
      </w:r>
      <w:r>
        <w:rPr>
          <w:rFonts w:hint="eastAsia" w:ascii="宋体" w:hAnsi="宋体" w:cs="Tahoma"/>
          <w:color w:val="auto"/>
          <w:lang w:val="en-US" w:eastAsia="zh-CN"/>
        </w:rPr>
        <w:t>8</w:t>
      </w:r>
      <w:r>
        <w:rPr>
          <w:rFonts w:hint="eastAsia" w:ascii="宋体" w:hAnsi="宋体" w:cs="Tahoma"/>
          <w:color w:val="auto"/>
        </w:rPr>
        <w:t>年</w:t>
      </w:r>
      <w:r>
        <w:rPr>
          <w:rFonts w:hint="eastAsia" w:ascii="宋体" w:hAnsi="宋体" w:cs="Tahoma"/>
          <w:color w:val="auto"/>
          <w:lang w:val="en-US" w:eastAsia="zh-CN"/>
        </w:rPr>
        <w:t>2</w:t>
      </w:r>
      <w:r>
        <w:rPr>
          <w:rFonts w:hint="eastAsia" w:ascii="宋体" w:hAnsi="宋体" w:cs="Tahoma"/>
          <w:color w:val="auto"/>
        </w:rPr>
        <w:t>月</w:t>
      </w:r>
      <w:r>
        <w:rPr>
          <w:rFonts w:hint="eastAsia" w:ascii="宋体" w:hAnsi="宋体" w:cs="Tahoma"/>
          <w:color w:val="auto"/>
          <w:lang w:val="en-US" w:eastAsia="zh-CN"/>
        </w:rPr>
        <w:t>13</w:t>
      </w:r>
      <w:r>
        <w:rPr>
          <w:rFonts w:hint="eastAsia" w:ascii="宋体" w:hAnsi="宋体" w:cs="Tahoma"/>
          <w:color w:val="auto"/>
        </w:rPr>
        <w:t>日</w:t>
      </w:r>
      <w:r>
        <w:rPr>
          <w:rFonts w:hint="eastAsia" w:ascii="宋体" w:hAnsi="宋体" w:cs="Tahoma"/>
          <w:color w:val="auto"/>
          <w:lang w:val="en-US" w:eastAsia="zh-CN"/>
        </w:rPr>
        <w:t>上</w:t>
      </w:r>
      <w:r>
        <w:rPr>
          <w:rFonts w:hint="eastAsia" w:ascii="宋体" w:hAnsi="宋体" w:cs="Tahoma"/>
          <w:color w:val="auto"/>
        </w:rPr>
        <w:t>午</w:t>
      </w:r>
      <w:r>
        <w:rPr>
          <w:rFonts w:hint="eastAsia" w:ascii="宋体" w:hAnsi="宋体" w:cs="Tahoma"/>
          <w:color w:val="auto"/>
          <w:lang w:val="en-US" w:eastAsia="zh-CN"/>
        </w:rPr>
        <w:t>09</w:t>
      </w:r>
      <w:r>
        <w:rPr>
          <w:rFonts w:hint="eastAsia" w:ascii="宋体" w:hAnsi="宋体" w:cs="Tahoma"/>
          <w:color w:val="auto"/>
        </w:rPr>
        <w:t>：</w:t>
      </w:r>
      <w:r>
        <w:rPr>
          <w:rFonts w:hint="eastAsia" w:ascii="宋体" w:hAnsi="宋体" w:cs="Tahoma"/>
          <w:color w:val="auto"/>
          <w:lang w:val="en-US" w:eastAsia="zh-CN"/>
        </w:rPr>
        <w:t>0</w:t>
      </w:r>
      <w:r>
        <w:rPr>
          <w:rFonts w:hint="eastAsia" w:ascii="宋体" w:hAnsi="宋体" w:cs="Tahoma"/>
          <w:color w:val="auto"/>
        </w:rPr>
        <w:t>0-</w:t>
      </w:r>
      <w:r>
        <w:rPr>
          <w:rFonts w:hint="eastAsia" w:ascii="宋体" w:hAnsi="宋体" w:cs="Tahoma"/>
          <w:color w:val="auto"/>
          <w:lang w:val="en-US" w:eastAsia="zh-CN"/>
        </w:rPr>
        <w:t>09</w:t>
      </w:r>
      <w:r>
        <w:rPr>
          <w:rFonts w:hint="eastAsia" w:ascii="宋体" w:hAnsi="宋体" w:cs="Tahoma"/>
          <w:color w:val="auto"/>
        </w:rPr>
        <w:t>：</w:t>
      </w:r>
      <w:r>
        <w:rPr>
          <w:rFonts w:hint="eastAsia" w:ascii="宋体" w:hAnsi="宋体" w:cs="Tahoma"/>
          <w:color w:val="auto"/>
          <w:lang w:val="en-US" w:eastAsia="zh-CN"/>
        </w:rPr>
        <w:t>3</w:t>
      </w:r>
      <w:r>
        <w:rPr>
          <w:rFonts w:hint="eastAsia" w:ascii="宋体" w:hAnsi="宋体" w:cs="Tahoma"/>
          <w:color w:val="auto"/>
        </w:rPr>
        <w:t>0（北京时间）</w:t>
      </w:r>
    </w:p>
    <w:p>
      <w:pPr>
        <w:snapToGrid w:val="0"/>
        <w:spacing w:line="480" w:lineRule="exact"/>
        <w:rPr>
          <w:rFonts w:ascii="宋体" w:hAnsi="宋体" w:cs="Tahoma"/>
          <w:color w:val="auto"/>
        </w:rPr>
      </w:pPr>
      <w:r>
        <w:rPr>
          <w:rFonts w:hint="eastAsia" w:ascii="宋体" w:hAnsi="宋体" w:cs="Tahoma"/>
          <w:color w:val="auto"/>
        </w:rPr>
        <w:t>2、</w:t>
      </w:r>
      <w:r>
        <w:rPr>
          <w:rFonts w:ascii="宋体" w:hAnsi="宋体" w:cs="Tahoma"/>
          <w:color w:val="auto"/>
        </w:rPr>
        <w:t>报价截止</w:t>
      </w:r>
      <w:r>
        <w:rPr>
          <w:rFonts w:hint="eastAsia" w:ascii="宋体" w:hAnsi="宋体" w:cs="Tahoma"/>
          <w:color w:val="auto"/>
        </w:rPr>
        <w:t>时间：201</w:t>
      </w:r>
      <w:r>
        <w:rPr>
          <w:rFonts w:hint="eastAsia" w:ascii="宋体" w:hAnsi="宋体" w:cs="Tahoma"/>
          <w:color w:val="auto"/>
          <w:lang w:val="en-US" w:eastAsia="zh-CN"/>
        </w:rPr>
        <w:t>8</w:t>
      </w:r>
      <w:r>
        <w:rPr>
          <w:rFonts w:hint="eastAsia" w:ascii="宋体" w:hAnsi="宋体" w:cs="Tahoma"/>
          <w:color w:val="auto"/>
        </w:rPr>
        <w:t>年</w:t>
      </w:r>
      <w:r>
        <w:rPr>
          <w:rFonts w:hint="eastAsia" w:ascii="宋体" w:hAnsi="宋体" w:cs="Tahoma"/>
          <w:color w:val="auto"/>
          <w:lang w:val="en-US" w:eastAsia="zh-CN"/>
        </w:rPr>
        <w:t>2</w:t>
      </w:r>
      <w:r>
        <w:rPr>
          <w:rFonts w:hint="eastAsia" w:ascii="宋体" w:hAnsi="宋体" w:cs="Tahoma"/>
          <w:color w:val="auto"/>
        </w:rPr>
        <w:t>月</w:t>
      </w:r>
      <w:r>
        <w:rPr>
          <w:rFonts w:hint="eastAsia" w:ascii="宋体" w:hAnsi="宋体" w:cs="Tahoma"/>
          <w:color w:val="auto"/>
          <w:lang w:val="en-US" w:eastAsia="zh-CN"/>
        </w:rPr>
        <w:t>13</w:t>
      </w:r>
      <w:r>
        <w:rPr>
          <w:rFonts w:hint="eastAsia" w:ascii="宋体" w:hAnsi="宋体" w:cs="Tahoma"/>
          <w:color w:val="auto"/>
        </w:rPr>
        <w:t>日</w:t>
      </w:r>
      <w:r>
        <w:rPr>
          <w:rFonts w:hint="eastAsia" w:ascii="宋体" w:hAnsi="宋体" w:cs="Tahoma"/>
          <w:color w:val="auto"/>
          <w:lang w:val="en-US" w:eastAsia="zh-CN"/>
        </w:rPr>
        <w:t>上</w:t>
      </w:r>
      <w:r>
        <w:rPr>
          <w:rFonts w:hint="eastAsia" w:ascii="宋体" w:hAnsi="宋体" w:cs="Tahoma"/>
          <w:color w:val="auto"/>
        </w:rPr>
        <w:t>午</w:t>
      </w:r>
      <w:r>
        <w:rPr>
          <w:rFonts w:hint="eastAsia" w:ascii="宋体" w:hAnsi="宋体" w:cs="Tahoma"/>
          <w:color w:val="auto"/>
          <w:lang w:val="en-US" w:eastAsia="zh-CN"/>
        </w:rPr>
        <w:t>09</w:t>
      </w:r>
      <w:r>
        <w:rPr>
          <w:rFonts w:hint="eastAsia" w:ascii="宋体" w:hAnsi="宋体" w:cs="Tahoma"/>
          <w:color w:val="auto"/>
        </w:rPr>
        <w:t>：</w:t>
      </w:r>
      <w:r>
        <w:rPr>
          <w:rFonts w:hint="eastAsia" w:ascii="宋体" w:hAnsi="宋体" w:cs="Tahoma"/>
          <w:color w:val="auto"/>
          <w:lang w:val="en-US" w:eastAsia="zh-CN"/>
        </w:rPr>
        <w:t>30</w:t>
      </w:r>
      <w:r>
        <w:rPr>
          <w:rFonts w:hint="eastAsia" w:ascii="宋体" w:hAnsi="宋体" w:cs="Tahoma"/>
          <w:color w:val="auto"/>
        </w:rPr>
        <w:t>（北京时间）</w:t>
      </w:r>
    </w:p>
    <w:p>
      <w:pPr>
        <w:snapToGrid w:val="0"/>
        <w:spacing w:line="480" w:lineRule="exact"/>
        <w:rPr>
          <w:rFonts w:ascii="宋体" w:hAnsi="宋体" w:cs="Tahoma"/>
          <w:color w:val="auto"/>
        </w:rPr>
      </w:pPr>
      <w:r>
        <w:rPr>
          <w:rFonts w:hint="eastAsia" w:ascii="宋体" w:hAnsi="宋体" w:cs="Tahoma"/>
          <w:color w:val="auto"/>
        </w:rPr>
        <w:t>3、磋商时间： 201</w:t>
      </w:r>
      <w:r>
        <w:rPr>
          <w:rFonts w:hint="eastAsia" w:ascii="宋体" w:hAnsi="宋体" w:cs="Tahoma"/>
          <w:color w:val="auto"/>
          <w:lang w:val="en-US" w:eastAsia="zh-CN"/>
        </w:rPr>
        <w:t>8</w:t>
      </w:r>
      <w:r>
        <w:rPr>
          <w:rFonts w:hint="eastAsia" w:ascii="宋体" w:hAnsi="宋体" w:cs="Tahoma"/>
          <w:color w:val="auto"/>
        </w:rPr>
        <w:t>年</w:t>
      </w:r>
      <w:r>
        <w:rPr>
          <w:rFonts w:hint="eastAsia" w:ascii="宋体" w:hAnsi="宋体" w:cs="Tahoma"/>
          <w:color w:val="auto"/>
          <w:lang w:val="en-US" w:eastAsia="zh-CN"/>
        </w:rPr>
        <w:t>2</w:t>
      </w:r>
      <w:r>
        <w:rPr>
          <w:rFonts w:hint="eastAsia" w:ascii="宋体" w:hAnsi="宋体" w:cs="Tahoma"/>
          <w:color w:val="auto"/>
        </w:rPr>
        <w:t>月</w:t>
      </w:r>
      <w:r>
        <w:rPr>
          <w:rFonts w:hint="eastAsia" w:ascii="宋体" w:hAnsi="宋体" w:cs="Tahoma"/>
          <w:color w:val="auto"/>
          <w:lang w:val="en-US" w:eastAsia="zh-CN"/>
        </w:rPr>
        <w:t>13</w:t>
      </w:r>
      <w:r>
        <w:rPr>
          <w:rFonts w:hint="eastAsia" w:ascii="宋体" w:hAnsi="宋体" w:cs="Tahoma"/>
          <w:color w:val="auto"/>
        </w:rPr>
        <w:t>日</w:t>
      </w:r>
      <w:r>
        <w:rPr>
          <w:rFonts w:hint="eastAsia" w:ascii="宋体" w:hAnsi="宋体" w:cs="Tahoma"/>
          <w:color w:val="auto"/>
          <w:lang w:val="en-US" w:eastAsia="zh-CN"/>
        </w:rPr>
        <w:t>上</w:t>
      </w:r>
      <w:r>
        <w:rPr>
          <w:rFonts w:hint="eastAsia" w:ascii="宋体" w:hAnsi="宋体" w:cs="Tahoma"/>
          <w:color w:val="auto"/>
        </w:rPr>
        <w:t>午</w:t>
      </w:r>
      <w:r>
        <w:rPr>
          <w:rFonts w:hint="eastAsia" w:ascii="宋体" w:hAnsi="宋体" w:cs="Tahoma"/>
          <w:color w:val="auto"/>
          <w:lang w:val="en-US" w:eastAsia="zh-CN"/>
        </w:rPr>
        <w:t>09</w:t>
      </w:r>
      <w:r>
        <w:rPr>
          <w:rFonts w:hint="eastAsia" w:ascii="宋体" w:hAnsi="宋体" w:cs="Tahoma"/>
          <w:color w:val="auto"/>
        </w:rPr>
        <w:t>：</w:t>
      </w:r>
      <w:r>
        <w:rPr>
          <w:rFonts w:hint="eastAsia" w:ascii="宋体" w:hAnsi="宋体" w:cs="Tahoma"/>
          <w:color w:val="auto"/>
          <w:lang w:val="en-US" w:eastAsia="zh-CN"/>
        </w:rPr>
        <w:t>30</w:t>
      </w:r>
      <w:r>
        <w:rPr>
          <w:rFonts w:hint="eastAsia" w:ascii="宋体" w:hAnsi="宋体" w:cs="Tahoma"/>
          <w:color w:val="auto"/>
        </w:rPr>
        <w:t>（北京时间）</w:t>
      </w:r>
    </w:p>
    <w:p>
      <w:pPr>
        <w:snapToGrid w:val="0"/>
        <w:spacing w:line="480" w:lineRule="exact"/>
        <w:rPr>
          <w:rFonts w:ascii="宋体" w:hAnsi="宋体" w:cs="Tahoma"/>
          <w:color w:val="auto"/>
        </w:rPr>
      </w:pPr>
      <w:r>
        <w:rPr>
          <w:rFonts w:hint="eastAsia" w:ascii="宋体" w:hAnsi="宋体" w:cs="Tahoma"/>
          <w:color w:val="auto"/>
        </w:rPr>
        <w:t>4、磋商</w:t>
      </w:r>
      <w:r>
        <w:rPr>
          <w:rFonts w:ascii="宋体" w:hAnsi="宋体" w:cs="Tahoma"/>
          <w:color w:val="auto"/>
        </w:rPr>
        <w:t>地点：</w:t>
      </w:r>
      <w:r>
        <w:rPr>
          <w:rFonts w:hint="eastAsia" w:ascii="宋体" w:hAnsi="宋体" w:cs="Tahoma"/>
          <w:color w:val="auto"/>
        </w:rPr>
        <w:t>广东省云浮市云城区城中路110号三楼(果留香楼上)</w:t>
      </w:r>
    </w:p>
    <w:p>
      <w:pPr>
        <w:snapToGrid w:val="0"/>
        <w:spacing w:line="480" w:lineRule="exact"/>
        <w:rPr>
          <w:rFonts w:ascii="宋体" w:hAnsi="宋体" w:cs="Tahoma"/>
          <w:color w:val="auto"/>
        </w:rPr>
      </w:pPr>
      <w:r>
        <w:rPr>
          <w:rFonts w:hint="eastAsia" w:ascii="宋体" w:hAnsi="宋体" w:cs="Tahoma"/>
          <w:color w:val="auto"/>
        </w:rPr>
        <w:t>5、</w:t>
      </w:r>
      <w:r>
        <w:rPr>
          <w:rFonts w:hint="eastAsia" w:ascii="宋体" w:hAnsi="宋体"/>
          <w:color w:val="auto"/>
        </w:rPr>
        <w:t>请各报价人授权代表务必到场参与磋商。</w:t>
      </w:r>
    </w:p>
    <w:p>
      <w:pPr>
        <w:snapToGrid w:val="0"/>
        <w:spacing w:line="480" w:lineRule="exact"/>
        <w:outlineLvl w:val="0"/>
        <w:rPr>
          <w:rFonts w:ascii="宋体" w:hAnsi="宋体" w:cs="Tahoma"/>
          <w:b/>
          <w:color w:val="auto"/>
        </w:rPr>
      </w:pPr>
      <w:r>
        <w:rPr>
          <w:rFonts w:hint="eastAsia" w:ascii="宋体" w:hAnsi="宋体" w:cs="Tahoma"/>
          <w:b/>
          <w:color w:val="auto"/>
        </w:rPr>
        <w:t>五、采购人、采购代理机构的名称、地址和联系方式</w:t>
      </w:r>
    </w:p>
    <w:p>
      <w:pPr>
        <w:snapToGrid w:val="0"/>
        <w:spacing w:line="480" w:lineRule="exact"/>
        <w:rPr>
          <w:rFonts w:ascii="宋体" w:hAnsi="宋体" w:cs="Tahoma"/>
          <w:color w:val="auto"/>
        </w:rPr>
      </w:pPr>
      <w:r>
        <w:rPr>
          <w:rFonts w:hint="eastAsia" w:ascii="宋体" w:hAnsi="宋体" w:cs="Tahoma"/>
          <w:color w:val="auto"/>
        </w:rPr>
        <w:t>1、采购人联系方式</w:t>
      </w:r>
    </w:p>
    <w:p>
      <w:pPr>
        <w:snapToGrid w:val="0"/>
        <w:spacing w:line="480" w:lineRule="exact"/>
        <w:rPr>
          <w:rFonts w:ascii="宋体" w:hAnsi="宋体" w:cs="Tahoma"/>
          <w:color w:val="auto"/>
        </w:rPr>
      </w:pPr>
      <w:r>
        <w:rPr>
          <w:rFonts w:hint="eastAsia" w:ascii="宋体" w:hAnsi="宋体" w:cs="Tahoma"/>
          <w:color w:val="auto"/>
        </w:rPr>
        <w:t>采购人名称：</w:t>
      </w:r>
      <w:r>
        <w:rPr>
          <w:rFonts w:hint="eastAsia" w:ascii="宋体" w:hAnsi="宋体" w:cs="Tahoma"/>
          <w:color w:val="auto"/>
          <w:lang w:eastAsia="zh-CN"/>
        </w:rPr>
        <w:t>郁南县财政局</w:t>
      </w:r>
    </w:p>
    <w:p>
      <w:pPr>
        <w:snapToGrid w:val="0"/>
        <w:spacing w:line="480" w:lineRule="exact"/>
        <w:rPr>
          <w:rFonts w:ascii="宋体" w:hAnsi="宋体" w:cs="Tahoma"/>
          <w:color w:val="auto"/>
        </w:rPr>
      </w:pPr>
      <w:r>
        <w:rPr>
          <w:rFonts w:hint="eastAsia" w:ascii="宋体" w:hAnsi="宋体" w:cs="Tahoma"/>
          <w:color w:val="auto"/>
        </w:rPr>
        <w:t>采购人</w:t>
      </w:r>
      <w:r>
        <w:rPr>
          <w:rFonts w:ascii="宋体" w:hAnsi="宋体" w:cs="Tahoma"/>
          <w:color w:val="auto"/>
        </w:rPr>
        <w:t>地</w:t>
      </w:r>
      <w:r>
        <w:rPr>
          <w:rFonts w:hint="eastAsia" w:ascii="宋体" w:hAnsi="宋体" w:cs="Tahoma"/>
          <w:color w:val="auto"/>
        </w:rPr>
        <w:t>址</w:t>
      </w:r>
      <w:r>
        <w:rPr>
          <w:rFonts w:ascii="宋体" w:hAnsi="宋体" w:cs="Tahoma"/>
          <w:color w:val="auto"/>
        </w:rPr>
        <w:t>：</w:t>
      </w:r>
      <w:r>
        <w:rPr>
          <w:rFonts w:hint="eastAsia" w:ascii="宋体" w:hAnsi="宋体"/>
          <w:color w:val="auto"/>
          <w:spacing w:val="-4"/>
          <w:sz w:val="21"/>
          <w:szCs w:val="21"/>
          <w:lang w:val="en-US" w:eastAsia="zh-CN" w:bidi="ar-SA"/>
        </w:rPr>
        <w:t>云浮市郁南县都城镇新生东路92号</w:t>
      </w:r>
      <w:r>
        <w:rPr>
          <w:rFonts w:hint="eastAsia" w:ascii="宋体" w:hAnsi="宋体" w:cs="Tahoma"/>
          <w:color w:val="auto"/>
        </w:rPr>
        <w:t xml:space="preserve"> </w:t>
      </w:r>
    </w:p>
    <w:p>
      <w:pPr>
        <w:snapToGrid w:val="0"/>
        <w:spacing w:line="480" w:lineRule="exact"/>
        <w:rPr>
          <w:rFonts w:ascii="宋体" w:hAnsi="宋体" w:cs="Tahoma"/>
          <w:color w:val="auto"/>
        </w:rPr>
      </w:pPr>
      <w:r>
        <w:rPr>
          <w:rFonts w:hint="eastAsia" w:ascii="宋体" w:hAnsi="宋体" w:cs="Tahoma"/>
          <w:color w:val="auto"/>
        </w:rPr>
        <w:t>2、采购代理机构名称</w:t>
      </w:r>
      <w:r>
        <w:rPr>
          <w:rFonts w:ascii="宋体" w:hAnsi="宋体" w:cs="Tahoma"/>
          <w:color w:val="auto"/>
        </w:rPr>
        <w:t>：</w:t>
      </w:r>
      <w:r>
        <w:rPr>
          <w:rFonts w:hint="eastAsia" w:ascii="宋体" w:hAnsi="宋体"/>
          <w:color w:val="auto"/>
        </w:rPr>
        <w:t>广东晓君招标采购代理有限公司</w:t>
      </w:r>
    </w:p>
    <w:p>
      <w:pPr>
        <w:snapToGrid w:val="0"/>
        <w:spacing w:line="480" w:lineRule="exact"/>
        <w:rPr>
          <w:rFonts w:ascii="宋体" w:hAnsi="宋体" w:cs="Tahoma"/>
          <w:color w:val="auto"/>
        </w:rPr>
      </w:pPr>
      <w:r>
        <w:rPr>
          <w:rFonts w:hint="eastAsia" w:ascii="宋体" w:hAnsi="宋体" w:cs="Tahoma"/>
          <w:color w:val="auto"/>
        </w:rPr>
        <w:t>采购代理机构</w:t>
      </w:r>
      <w:r>
        <w:rPr>
          <w:rFonts w:ascii="宋体" w:hAnsi="宋体" w:cs="Tahoma"/>
          <w:color w:val="auto"/>
        </w:rPr>
        <w:t>地点：</w:t>
      </w:r>
      <w:r>
        <w:rPr>
          <w:rFonts w:hint="eastAsia" w:ascii="宋体" w:hAnsi="宋体"/>
          <w:color w:val="auto"/>
        </w:rPr>
        <w:t>广东省云浮市云城区城中路110号三楼(果留香楼上)</w:t>
      </w:r>
    </w:p>
    <w:p>
      <w:pPr>
        <w:snapToGrid w:val="0"/>
        <w:spacing w:line="480" w:lineRule="exact"/>
        <w:rPr>
          <w:rFonts w:ascii="宋体" w:hAnsi="宋体" w:cs="Tahoma"/>
          <w:color w:val="auto"/>
        </w:rPr>
      </w:pPr>
      <w:r>
        <w:rPr>
          <w:rFonts w:hint="eastAsia" w:ascii="宋体" w:hAnsi="宋体" w:cs="Tahoma"/>
          <w:color w:val="auto"/>
        </w:rPr>
        <w:t>采购代理机构</w:t>
      </w:r>
      <w:r>
        <w:rPr>
          <w:rFonts w:ascii="宋体" w:hAnsi="宋体" w:cs="Tahoma"/>
          <w:color w:val="auto"/>
        </w:rPr>
        <w:t>联系人：</w:t>
      </w:r>
      <w:r>
        <w:rPr>
          <w:rFonts w:hint="eastAsia" w:ascii="宋体" w:hAnsi="宋体" w:cs="Tahoma"/>
          <w:color w:val="auto"/>
        </w:rPr>
        <w:t>邓先生</w:t>
      </w:r>
    </w:p>
    <w:p>
      <w:pPr>
        <w:snapToGrid w:val="0"/>
        <w:spacing w:line="480" w:lineRule="exact"/>
        <w:rPr>
          <w:rFonts w:ascii="宋体" w:hAnsi="宋体" w:cs="Tahoma"/>
          <w:color w:val="auto"/>
        </w:rPr>
      </w:pPr>
      <w:r>
        <w:rPr>
          <w:rFonts w:hint="eastAsia" w:ascii="宋体" w:hAnsi="宋体" w:cs="Tahoma"/>
          <w:color w:val="auto"/>
        </w:rPr>
        <w:t>采购代理机构联系</w:t>
      </w:r>
      <w:r>
        <w:rPr>
          <w:rFonts w:ascii="宋体" w:hAnsi="宋体" w:cs="Tahoma"/>
          <w:color w:val="auto"/>
        </w:rPr>
        <w:t>电话</w:t>
      </w:r>
      <w:r>
        <w:rPr>
          <w:rFonts w:hint="eastAsia" w:ascii="宋体" w:hAnsi="宋体" w:cs="Tahoma"/>
          <w:color w:val="auto"/>
        </w:rPr>
        <w:t>： 0766-8399669</w:t>
      </w:r>
    </w:p>
    <w:p>
      <w:pPr>
        <w:snapToGrid w:val="0"/>
        <w:spacing w:line="480" w:lineRule="exact"/>
        <w:rPr>
          <w:rFonts w:ascii="宋体" w:hAnsi="宋体" w:cs="Tahoma"/>
          <w:color w:val="auto"/>
        </w:rPr>
      </w:pPr>
      <w:r>
        <w:rPr>
          <w:rFonts w:hint="eastAsia" w:ascii="宋体" w:hAnsi="宋体" w:cs="Tahoma"/>
          <w:color w:val="auto"/>
        </w:rPr>
        <w:t>采购代理机构</w:t>
      </w:r>
      <w:r>
        <w:rPr>
          <w:rFonts w:ascii="宋体" w:hAnsi="宋体" w:cs="Tahoma"/>
          <w:color w:val="auto"/>
        </w:rPr>
        <w:t>传真：</w:t>
      </w:r>
      <w:r>
        <w:rPr>
          <w:rFonts w:hint="eastAsia" w:ascii="宋体" w:hAnsi="宋体" w:cs="Tahoma"/>
          <w:color w:val="auto"/>
        </w:rPr>
        <w:t xml:space="preserve"> 0766-8399669 </w:t>
      </w:r>
    </w:p>
    <w:p>
      <w:pPr>
        <w:snapToGrid w:val="0"/>
        <w:spacing w:line="480" w:lineRule="exact"/>
        <w:rPr>
          <w:rFonts w:ascii="宋体" w:hAnsi="宋体" w:cs="Tahoma"/>
          <w:b/>
          <w:color w:val="auto"/>
        </w:rPr>
      </w:pPr>
      <w:r>
        <w:rPr>
          <w:rFonts w:hint="eastAsia" w:ascii="宋体" w:hAnsi="宋体" w:cs="Tahoma"/>
          <w:b/>
          <w:color w:val="auto"/>
        </w:rPr>
        <w:t>六、 采购项目联系人姓名和电话</w:t>
      </w:r>
    </w:p>
    <w:p>
      <w:pPr>
        <w:snapToGrid w:val="0"/>
        <w:spacing w:line="480" w:lineRule="exact"/>
        <w:rPr>
          <w:rFonts w:ascii="宋体" w:hAnsi="宋体" w:cs="Tahoma"/>
          <w:color w:val="auto"/>
        </w:rPr>
      </w:pPr>
      <w:r>
        <w:rPr>
          <w:rFonts w:hint="eastAsia" w:ascii="宋体" w:hAnsi="宋体" w:cs="Tahoma"/>
          <w:color w:val="auto"/>
        </w:rPr>
        <w:t>采购项目联系人姓名：</w:t>
      </w:r>
      <w:r>
        <w:rPr>
          <w:rFonts w:hint="eastAsia" w:ascii="宋体" w:hAnsi="宋体" w:cs="Tahoma"/>
          <w:color w:val="auto"/>
          <w:lang w:eastAsia="zh-CN"/>
        </w:rPr>
        <w:t>罗先生</w:t>
      </w:r>
      <w:r>
        <w:rPr>
          <w:rFonts w:hint="eastAsia" w:ascii="宋体" w:hAnsi="宋体" w:cs="Tahoma"/>
          <w:color w:val="auto"/>
        </w:rPr>
        <w:t xml:space="preserve"> </w:t>
      </w:r>
    </w:p>
    <w:p>
      <w:pPr>
        <w:snapToGrid w:val="0"/>
        <w:spacing w:line="480" w:lineRule="exact"/>
        <w:rPr>
          <w:rFonts w:ascii="宋体" w:hAnsi="宋体" w:cs="Tahoma"/>
          <w:color w:val="auto"/>
        </w:rPr>
      </w:pPr>
      <w:r>
        <w:rPr>
          <w:rFonts w:hint="eastAsia" w:ascii="宋体" w:hAnsi="宋体" w:cs="Tahoma"/>
          <w:color w:val="auto"/>
        </w:rPr>
        <w:t>采购项目联系人电话：0766-</w:t>
      </w:r>
      <w:r>
        <w:rPr>
          <w:rFonts w:hint="eastAsia" w:ascii="宋体" w:hAnsi="宋体" w:cs="Tahoma"/>
          <w:color w:val="auto"/>
          <w:lang w:val="en-US" w:eastAsia="zh-CN"/>
        </w:rPr>
        <w:t>7598328</w:t>
      </w:r>
    </w:p>
    <w:p>
      <w:pPr>
        <w:pStyle w:val="9"/>
        <w:widowControl/>
        <w:autoSpaceDE/>
        <w:autoSpaceDN/>
        <w:adjustRightInd/>
        <w:spacing w:line="480" w:lineRule="exact"/>
        <w:jc w:val="left"/>
        <w:textAlignment w:val="auto"/>
        <w:rPr>
          <w:rFonts w:hAnsi="宋体" w:cs="Tahoma"/>
          <w:b/>
          <w:bCs/>
          <w:color w:val="auto"/>
          <w:szCs w:val="21"/>
        </w:rPr>
      </w:pPr>
      <w:r>
        <w:rPr>
          <w:rFonts w:hint="eastAsia" w:hAnsi="宋体" w:cs="Tahoma"/>
          <w:b/>
          <w:bCs/>
          <w:color w:val="auto"/>
          <w:szCs w:val="21"/>
        </w:rPr>
        <w:t>七、磋商文件公示</w:t>
      </w:r>
    </w:p>
    <w:p>
      <w:pPr>
        <w:tabs>
          <w:tab w:val="left" w:pos="4680"/>
        </w:tabs>
        <w:snapToGrid w:val="0"/>
        <w:spacing w:line="480" w:lineRule="exact"/>
        <w:rPr>
          <w:rFonts w:ascii="宋体" w:hAnsi="宋体"/>
          <w:color w:val="auto"/>
        </w:rPr>
      </w:pPr>
      <w:r>
        <w:rPr>
          <w:rFonts w:hint="eastAsia" w:ascii="宋体" w:hAnsi="宋体"/>
          <w:color w:val="auto"/>
        </w:rPr>
        <w:t xml:space="preserve">    本项目磋商文件在广东省政府采购网（www.gdgpo.gov.cn）、</w:t>
      </w:r>
      <w:r>
        <w:rPr>
          <w:rFonts w:hint="eastAsia" w:ascii="宋体" w:hAnsi="宋体" w:cs="宋体"/>
          <w:color w:val="auto"/>
          <w:szCs w:val="21"/>
        </w:rPr>
        <w:t>云浮市公共资源交易网（http://ggzy.yunfu.gov.cn）</w:t>
      </w:r>
      <w:r>
        <w:rPr>
          <w:rFonts w:hint="eastAsia" w:ascii="宋体" w:hAnsi="宋体"/>
          <w:color w:val="auto"/>
        </w:rPr>
        <w:t>等网站进行公示，由报价人自行下载，公示期为自磋商文件公告之日后</w:t>
      </w:r>
      <w:r>
        <w:rPr>
          <w:rFonts w:hint="eastAsia" w:ascii="宋体" w:hAnsi="宋体"/>
          <w:color w:val="auto"/>
          <w:lang w:val="en-US" w:eastAsia="zh-CN"/>
        </w:rPr>
        <w:t>三</w:t>
      </w:r>
      <w:r>
        <w:rPr>
          <w:rFonts w:hint="eastAsia" w:ascii="宋体" w:hAnsi="宋体"/>
          <w:color w:val="auto"/>
        </w:rPr>
        <w:t>个工作日</w:t>
      </w:r>
      <w:r>
        <w:rPr>
          <w:rFonts w:hint="eastAsia" w:ascii="宋体" w:hAnsi="宋体" w:cs="宋体"/>
          <w:color w:val="auto"/>
          <w:szCs w:val="21"/>
        </w:rPr>
        <w:t>（</w:t>
      </w:r>
      <w:r>
        <w:rPr>
          <w:rFonts w:hint="eastAsia" w:ascii="宋体" w:hAnsi="宋体"/>
          <w:color w:val="auto"/>
        </w:rPr>
        <w:t>公告期限自201</w:t>
      </w:r>
      <w:r>
        <w:rPr>
          <w:rFonts w:hint="eastAsia" w:ascii="宋体" w:hAnsi="宋体"/>
          <w:color w:val="auto"/>
          <w:lang w:val="en-US" w:eastAsia="zh-CN"/>
        </w:rPr>
        <w:t>8</w:t>
      </w:r>
      <w:r>
        <w:rPr>
          <w:rFonts w:hint="eastAsia" w:ascii="宋体" w:hAnsi="宋体"/>
          <w:color w:val="auto"/>
        </w:rPr>
        <w:t>年</w:t>
      </w:r>
      <w:r>
        <w:rPr>
          <w:rFonts w:hint="eastAsia" w:ascii="宋体" w:hAnsi="宋体"/>
          <w:color w:val="auto"/>
          <w:lang w:val="en-US" w:eastAsia="zh-CN"/>
        </w:rPr>
        <w:t>2</w:t>
      </w:r>
      <w:r>
        <w:rPr>
          <w:rFonts w:hint="eastAsia" w:ascii="宋体" w:hAnsi="宋体"/>
          <w:color w:val="auto"/>
        </w:rPr>
        <w:t>月</w:t>
      </w:r>
      <w:r>
        <w:rPr>
          <w:rFonts w:hint="eastAsia" w:ascii="宋体" w:hAnsi="宋体"/>
          <w:color w:val="auto"/>
          <w:lang w:val="en-US" w:eastAsia="zh-CN"/>
        </w:rPr>
        <w:t>5</w:t>
      </w:r>
      <w:r>
        <w:rPr>
          <w:rFonts w:hint="eastAsia" w:ascii="宋体" w:hAnsi="宋体"/>
          <w:color w:val="auto"/>
        </w:rPr>
        <w:t>日至201</w:t>
      </w:r>
      <w:r>
        <w:rPr>
          <w:rFonts w:hint="eastAsia" w:ascii="宋体" w:hAnsi="宋体"/>
          <w:color w:val="auto"/>
          <w:lang w:val="en-US" w:eastAsia="zh-CN"/>
        </w:rPr>
        <w:t>8</w:t>
      </w:r>
      <w:r>
        <w:rPr>
          <w:rFonts w:hint="eastAsia" w:ascii="宋体" w:hAnsi="宋体"/>
          <w:color w:val="auto"/>
        </w:rPr>
        <w:t>年</w:t>
      </w:r>
      <w:r>
        <w:rPr>
          <w:rFonts w:hint="eastAsia" w:ascii="宋体" w:hAnsi="宋体"/>
          <w:color w:val="auto"/>
          <w:lang w:val="en-US" w:eastAsia="zh-CN"/>
        </w:rPr>
        <w:t>2</w:t>
      </w:r>
      <w:r>
        <w:rPr>
          <w:rFonts w:hint="eastAsia" w:ascii="宋体" w:hAnsi="宋体"/>
          <w:color w:val="auto"/>
        </w:rPr>
        <w:t>月</w:t>
      </w:r>
      <w:r>
        <w:rPr>
          <w:rFonts w:hint="eastAsia" w:ascii="宋体" w:hAnsi="宋体"/>
          <w:color w:val="auto"/>
          <w:lang w:val="en-US" w:eastAsia="zh-CN"/>
        </w:rPr>
        <w:t>7</w:t>
      </w:r>
      <w:r>
        <w:rPr>
          <w:rFonts w:hint="eastAsia" w:ascii="宋体" w:hAnsi="宋体"/>
          <w:color w:val="auto"/>
        </w:rPr>
        <w:t>日止）。</w:t>
      </w:r>
    </w:p>
    <w:p>
      <w:pPr>
        <w:snapToGrid w:val="0"/>
        <w:spacing w:line="480" w:lineRule="exact"/>
        <w:outlineLvl w:val="0"/>
        <w:rPr>
          <w:rFonts w:ascii="Tahoma" w:hAnsi="Tahoma" w:cs="Tahoma"/>
          <w:b/>
          <w:color w:val="auto"/>
        </w:rPr>
      </w:pPr>
      <w:r>
        <w:rPr>
          <w:rFonts w:hint="eastAsia" w:ascii="Tahoma" w:hAnsi="Tahoma" w:cs="Tahoma"/>
          <w:b/>
          <w:color w:val="auto"/>
        </w:rPr>
        <w:t>八、供应商注册登记</w:t>
      </w:r>
    </w:p>
    <w:p>
      <w:pPr>
        <w:snapToGrid w:val="0"/>
        <w:spacing w:line="480" w:lineRule="exact"/>
        <w:ind w:firstLine="420" w:firstLineChars="200"/>
        <w:rPr>
          <w:rFonts w:ascii="宋体" w:hAnsi="宋体" w:cs="Tahoma"/>
          <w:color w:val="auto"/>
        </w:rPr>
      </w:pPr>
      <w:bookmarkStart w:id="52" w:name="_GoBack"/>
      <w:bookmarkEnd w:id="52"/>
      <w:r>
        <w:rPr>
          <w:rFonts w:hint="eastAsia" w:ascii="宋体" w:hAnsi="宋体" w:cs="Tahoma"/>
          <w:color w:val="auto"/>
        </w:rPr>
        <w:t>为保证政府采购工作顺利进行，参加广东省内政府采购活动的供应商，</w:t>
      </w:r>
      <w:r>
        <w:rPr>
          <w:rFonts w:hint="eastAsia" w:ascii="宋体" w:hAnsi="宋体" w:cs="Tahoma"/>
          <w:b/>
          <w:bCs/>
          <w:color w:val="auto"/>
        </w:rPr>
        <w:t>必须在广东省政府采购网(www.gdgpo.gov.cn)及</w:t>
      </w:r>
      <w:r>
        <w:rPr>
          <w:rFonts w:hint="eastAsia" w:ascii="宋体" w:hAnsi="宋体" w:cs="宋体"/>
          <w:b/>
          <w:bCs/>
          <w:color w:val="auto"/>
          <w:szCs w:val="21"/>
        </w:rPr>
        <w:t>云浮市公共资源交易网（http://ggzy.yunfu.gov.cn）</w:t>
      </w:r>
      <w:r>
        <w:rPr>
          <w:rFonts w:hint="eastAsia" w:ascii="宋体" w:hAnsi="宋体" w:cs="Tahoma"/>
          <w:b/>
          <w:bCs/>
          <w:color w:val="auto"/>
        </w:rPr>
        <w:t>进行注册登记</w:t>
      </w:r>
      <w:r>
        <w:rPr>
          <w:rFonts w:hint="eastAsia" w:ascii="宋体" w:hAnsi="宋体" w:cs="Tahoma"/>
          <w:color w:val="auto"/>
        </w:rPr>
        <w:t>，请参加本项目投标且尚未在广东省政府采购网、</w:t>
      </w:r>
      <w:r>
        <w:rPr>
          <w:rFonts w:hint="eastAsia" w:ascii="宋体" w:hAnsi="宋体" w:cs="宋体"/>
          <w:color w:val="auto"/>
          <w:szCs w:val="21"/>
        </w:rPr>
        <w:t>云浮市公共资源交易网</w:t>
      </w:r>
      <w:r>
        <w:rPr>
          <w:rFonts w:hint="eastAsia" w:ascii="宋体" w:hAnsi="宋体" w:cs="Tahoma"/>
          <w:color w:val="auto"/>
        </w:rPr>
        <w:t>进行注册登记的供应商务必于本项目投标截止日前完成注册登记。</w:t>
      </w:r>
    </w:p>
    <w:p>
      <w:pPr>
        <w:tabs>
          <w:tab w:val="left" w:pos="4680"/>
        </w:tabs>
        <w:snapToGrid w:val="0"/>
        <w:spacing w:line="480" w:lineRule="exact"/>
        <w:ind w:left="200"/>
        <w:jc w:val="right"/>
        <w:rPr>
          <w:rFonts w:ascii="宋体" w:hAnsi="宋体" w:cs="Tahoma"/>
          <w:color w:val="auto"/>
        </w:rPr>
      </w:pPr>
    </w:p>
    <w:p>
      <w:pPr>
        <w:snapToGrid w:val="0"/>
        <w:spacing w:line="480" w:lineRule="exact"/>
        <w:ind w:left="200" w:right="420" w:firstLine="4840"/>
        <w:jc w:val="right"/>
        <w:rPr>
          <w:rFonts w:ascii="宋体" w:hAnsi="宋体" w:cs="Tahoma"/>
          <w:color w:val="auto"/>
        </w:rPr>
      </w:pPr>
      <w:r>
        <w:rPr>
          <w:rFonts w:hint="eastAsia" w:ascii="宋体" w:hAnsi="宋体" w:cs="Tahoma"/>
          <w:color w:val="auto"/>
        </w:rPr>
        <w:t>广东晓君招标采购代理有限公司</w:t>
      </w:r>
    </w:p>
    <w:p>
      <w:pPr>
        <w:snapToGrid w:val="0"/>
        <w:spacing w:line="480" w:lineRule="exact"/>
        <w:ind w:left="200" w:right="420" w:firstLine="4840"/>
        <w:jc w:val="right"/>
        <w:rPr>
          <w:rFonts w:ascii="宋体" w:hAnsi="宋体" w:cs="Tahoma"/>
          <w:color w:val="auto"/>
        </w:rPr>
      </w:pPr>
      <w:r>
        <w:rPr>
          <w:rFonts w:hint="eastAsia" w:ascii="宋体" w:hAnsi="宋体" w:cs="Tahoma"/>
          <w:color w:val="auto"/>
        </w:rPr>
        <w:t>201</w:t>
      </w:r>
      <w:r>
        <w:rPr>
          <w:rFonts w:hint="eastAsia" w:ascii="宋体" w:hAnsi="宋体" w:cs="Tahoma"/>
          <w:color w:val="auto"/>
          <w:lang w:val="en-US" w:eastAsia="zh-CN"/>
        </w:rPr>
        <w:t>8</w:t>
      </w:r>
      <w:r>
        <w:rPr>
          <w:rFonts w:ascii="宋体" w:hAnsi="宋体" w:cs="Tahoma"/>
          <w:color w:val="auto"/>
        </w:rPr>
        <w:t>年</w:t>
      </w:r>
      <w:r>
        <w:rPr>
          <w:rFonts w:hint="eastAsia" w:ascii="宋体" w:hAnsi="宋体" w:cs="Tahoma"/>
          <w:color w:val="auto"/>
          <w:lang w:val="en-US" w:eastAsia="zh-CN"/>
        </w:rPr>
        <w:t>2</w:t>
      </w:r>
      <w:r>
        <w:rPr>
          <w:rFonts w:ascii="宋体" w:hAnsi="宋体" w:cs="Tahoma"/>
          <w:color w:val="auto"/>
        </w:rPr>
        <w:t>月</w:t>
      </w:r>
      <w:r>
        <w:rPr>
          <w:rFonts w:hint="eastAsia" w:ascii="宋体" w:hAnsi="宋体" w:cs="Tahoma"/>
          <w:color w:val="auto"/>
          <w:lang w:val="en-US" w:eastAsia="zh-CN"/>
        </w:rPr>
        <w:t>2</w:t>
      </w:r>
      <w:r>
        <w:rPr>
          <w:rFonts w:hint="eastAsia" w:ascii="宋体" w:hAnsi="宋体" w:cs="Tahoma"/>
          <w:color w:val="auto"/>
        </w:rPr>
        <w:t>日</w:t>
      </w:r>
    </w:p>
    <w:p>
      <w:pPr>
        <w:snapToGrid w:val="0"/>
        <w:spacing w:before="60" w:line="360" w:lineRule="auto"/>
        <w:rPr>
          <w:rFonts w:ascii="宋体" w:hAnsi="宋体"/>
          <w:color w:val="auto"/>
        </w:rPr>
        <w:sectPr>
          <w:headerReference r:id="rId3" w:type="default"/>
          <w:footerReference r:id="rId4" w:type="default"/>
          <w:pgSz w:w="11906" w:h="16838"/>
          <w:pgMar w:top="1440" w:right="1418" w:bottom="1440" w:left="1418" w:header="851" w:footer="851" w:gutter="0"/>
          <w:pgNumType w:start="1"/>
          <w:cols w:space="720" w:num="1"/>
          <w:docGrid w:type="lines" w:linePitch="312" w:charSpace="0"/>
        </w:sect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第二部分</w:t>
      </w:r>
    </w:p>
    <w:p>
      <w:pPr>
        <w:spacing w:line="360" w:lineRule="auto"/>
        <w:jc w:val="center"/>
        <w:rPr>
          <w:rFonts w:ascii="黑体" w:eastAsia="黑体"/>
          <w:b/>
          <w:color w:val="auto"/>
          <w:sz w:val="44"/>
        </w:rPr>
      </w:pPr>
    </w:p>
    <w:p>
      <w:pPr>
        <w:spacing w:line="360" w:lineRule="auto"/>
        <w:jc w:val="center"/>
        <w:rPr>
          <w:rFonts w:ascii="宋体"/>
          <w:b/>
          <w:color w:val="auto"/>
          <w:sz w:val="44"/>
        </w:rPr>
      </w:pPr>
      <w:r>
        <w:rPr>
          <w:rFonts w:hint="eastAsia" w:ascii="黑体" w:eastAsia="黑体"/>
          <w:b/>
          <w:color w:val="auto"/>
          <w:sz w:val="44"/>
        </w:rPr>
        <w:t>报 价 人 须 知</w:t>
      </w:r>
    </w:p>
    <w:p>
      <w:pPr>
        <w:pStyle w:val="18"/>
        <w:spacing w:line="360" w:lineRule="auto"/>
        <w:jc w:val="center"/>
        <w:rPr>
          <w:color w:val="auto"/>
        </w:rPr>
      </w:pPr>
    </w:p>
    <w:p>
      <w:pPr>
        <w:pStyle w:val="20"/>
        <w:spacing w:line="360" w:lineRule="auto"/>
        <w:jc w:val="both"/>
        <w:rPr>
          <w:color w:val="auto"/>
        </w:rPr>
      </w:pPr>
      <w:r>
        <w:rPr>
          <w:rFonts w:hint="eastAsia"/>
          <w:color w:val="auto"/>
        </w:rPr>
        <w:t xml:space="preserve"> </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color w:val="auto"/>
        </w:rPr>
        <w:br w:type="page"/>
      </w:r>
      <w:bookmarkStart w:id="5" w:name="_Toc42952414"/>
      <w:r>
        <w:rPr>
          <w:rFonts w:hint="eastAsia" w:ascii="宋体"/>
          <w:bCs w:val="0"/>
          <w:color w:val="auto"/>
          <w:kern w:val="2"/>
          <w:sz w:val="32"/>
          <w:szCs w:val="32"/>
        </w:rPr>
        <w:t>一、说明</w:t>
      </w:r>
      <w:bookmarkEnd w:id="5"/>
    </w:p>
    <w:p>
      <w:pPr>
        <w:pStyle w:val="3"/>
        <w:numPr>
          <w:ilvl w:val="0"/>
          <w:numId w:val="2"/>
        </w:numPr>
        <w:tabs>
          <w:tab w:val="left" w:pos="630"/>
          <w:tab w:val="clear" w:pos="420"/>
        </w:tabs>
        <w:spacing w:beforeLines="0" w:afterLines="0" w:line="360" w:lineRule="auto"/>
        <w:rPr>
          <w:color w:val="auto"/>
        </w:rPr>
      </w:pPr>
      <w:r>
        <w:rPr>
          <w:rFonts w:hint="eastAsia"/>
          <w:color w:val="auto"/>
        </w:rPr>
        <w:t>适用范围</w:t>
      </w:r>
    </w:p>
    <w:p>
      <w:pPr>
        <w:pStyle w:val="4"/>
        <w:rPr>
          <w:color w:val="auto"/>
        </w:rPr>
      </w:pPr>
      <w:r>
        <w:rPr>
          <w:rFonts w:hint="eastAsia"/>
          <w:color w:val="auto"/>
        </w:rPr>
        <w:t>1.1   本次代理招标采购的货物及相关服务项目，属部门集中采购项目。</w:t>
      </w:r>
    </w:p>
    <w:p>
      <w:pPr>
        <w:pStyle w:val="4"/>
        <w:spacing w:before="60"/>
        <w:rPr>
          <w:rFonts w:hAnsi="宋体"/>
          <w:color w:val="auto"/>
          <w:szCs w:val="21"/>
        </w:rPr>
      </w:pPr>
    </w:p>
    <w:p>
      <w:pPr>
        <w:pStyle w:val="3"/>
        <w:numPr>
          <w:ilvl w:val="0"/>
          <w:numId w:val="2"/>
        </w:numPr>
        <w:tabs>
          <w:tab w:val="left" w:pos="630"/>
          <w:tab w:val="clear" w:pos="420"/>
        </w:tabs>
        <w:spacing w:beforeLines="0" w:afterLines="0" w:line="360" w:lineRule="auto"/>
        <w:rPr>
          <w:color w:val="auto"/>
        </w:rPr>
      </w:pPr>
      <w:r>
        <w:rPr>
          <w:rFonts w:hint="eastAsia"/>
          <w:color w:val="auto"/>
        </w:rPr>
        <w:t>定义</w:t>
      </w:r>
    </w:p>
    <w:p>
      <w:pPr>
        <w:pStyle w:val="4"/>
        <w:numPr>
          <w:ilvl w:val="1"/>
          <w:numId w:val="1"/>
        </w:numPr>
        <w:spacing w:before="60"/>
        <w:rPr>
          <w:color w:val="auto"/>
        </w:rPr>
      </w:pPr>
      <w:r>
        <w:rPr>
          <w:rFonts w:hint="eastAsia"/>
          <w:color w:val="auto"/>
        </w:rPr>
        <w:t>“采购人”指本采购项目的委托人。</w:t>
      </w:r>
    </w:p>
    <w:p>
      <w:pPr>
        <w:pStyle w:val="4"/>
        <w:numPr>
          <w:ilvl w:val="1"/>
          <w:numId w:val="1"/>
        </w:numPr>
        <w:spacing w:before="60"/>
        <w:rPr>
          <w:color w:val="auto"/>
        </w:rPr>
      </w:pPr>
      <w:r>
        <w:rPr>
          <w:rFonts w:hint="eastAsia"/>
          <w:color w:val="auto"/>
        </w:rPr>
        <w:t>“采购代理机构”指广东晓君招标采购代理有限公司。</w:t>
      </w:r>
    </w:p>
    <w:p>
      <w:pPr>
        <w:pStyle w:val="4"/>
        <w:numPr>
          <w:ilvl w:val="1"/>
          <w:numId w:val="1"/>
        </w:numPr>
        <w:spacing w:before="60"/>
        <w:rPr>
          <w:color w:val="auto"/>
        </w:rPr>
      </w:pPr>
      <w:r>
        <w:rPr>
          <w:rFonts w:hint="eastAsia"/>
          <w:color w:val="auto"/>
        </w:rPr>
        <w:t>“报价人”指向采购代理机构提交报价文件并参与磋商的法人。</w:t>
      </w:r>
    </w:p>
    <w:p>
      <w:pPr>
        <w:pStyle w:val="4"/>
        <w:numPr>
          <w:ilvl w:val="1"/>
          <w:numId w:val="1"/>
        </w:numPr>
        <w:spacing w:before="60"/>
        <w:rPr>
          <w:color w:val="auto"/>
        </w:rPr>
      </w:pPr>
      <w:r>
        <w:rPr>
          <w:rFonts w:hint="eastAsia"/>
          <w:color w:val="auto"/>
        </w:rPr>
        <w:t>“成交人”</w:t>
      </w:r>
      <w:r>
        <w:rPr>
          <w:rFonts w:hAnsi="宋体"/>
          <w:color w:val="auto"/>
        </w:rPr>
        <w:t xml:space="preserve"> 指经</w:t>
      </w:r>
      <w:r>
        <w:rPr>
          <w:rFonts w:hint="eastAsia" w:hAnsi="宋体"/>
          <w:color w:val="auto"/>
        </w:rPr>
        <w:t>法定程序确定</w:t>
      </w:r>
      <w:r>
        <w:rPr>
          <w:rFonts w:hAnsi="宋体"/>
          <w:color w:val="auto"/>
        </w:rPr>
        <w:t>并</w:t>
      </w:r>
      <w:r>
        <w:rPr>
          <w:rFonts w:hint="eastAsia" w:hAnsi="宋体"/>
          <w:color w:val="auto"/>
        </w:rPr>
        <w:t>授予</w:t>
      </w:r>
      <w:r>
        <w:rPr>
          <w:rFonts w:hAnsi="宋体"/>
          <w:color w:val="auto"/>
        </w:rPr>
        <w:t>合同的</w:t>
      </w:r>
      <w:r>
        <w:rPr>
          <w:rFonts w:hint="eastAsia" w:hAnsi="宋体"/>
          <w:color w:val="auto"/>
        </w:rPr>
        <w:t>报价</w:t>
      </w:r>
      <w:r>
        <w:rPr>
          <w:rFonts w:hAnsi="宋体"/>
          <w:color w:val="auto"/>
        </w:rPr>
        <w:t>人</w:t>
      </w:r>
      <w:r>
        <w:rPr>
          <w:rFonts w:hint="eastAsia" w:hAnsi="宋体"/>
          <w:color w:val="auto"/>
        </w:rPr>
        <w:t>。</w:t>
      </w:r>
    </w:p>
    <w:p>
      <w:pPr>
        <w:pStyle w:val="4"/>
        <w:numPr>
          <w:ilvl w:val="1"/>
          <w:numId w:val="1"/>
        </w:numPr>
        <w:spacing w:before="60"/>
        <w:rPr>
          <w:color w:val="auto"/>
        </w:rPr>
      </w:pPr>
      <w:r>
        <w:rPr>
          <w:rFonts w:hint="eastAsia"/>
          <w:color w:val="auto"/>
        </w:rPr>
        <w:t>“货物”指报价人按磋商文件的规定，须向采购人提供的一切产品、物品及其它材料等。</w:t>
      </w:r>
    </w:p>
    <w:p>
      <w:pPr>
        <w:pStyle w:val="4"/>
        <w:numPr>
          <w:ilvl w:val="1"/>
          <w:numId w:val="1"/>
        </w:numPr>
        <w:spacing w:before="60"/>
        <w:rPr>
          <w:rFonts w:hAnsi="宋体"/>
          <w:color w:val="auto"/>
          <w:szCs w:val="21"/>
        </w:rPr>
      </w:pPr>
      <w:r>
        <w:rPr>
          <w:rFonts w:hint="eastAsia"/>
          <w:color w:val="auto"/>
        </w:rPr>
        <w:t>“服务”指报价人提供的货物所需的相关服务以及用户需求书中要求的其他服务。</w:t>
      </w:r>
    </w:p>
    <w:p>
      <w:pPr>
        <w:pStyle w:val="4"/>
        <w:numPr>
          <w:ilvl w:val="1"/>
          <w:numId w:val="1"/>
        </w:numPr>
        <w:spacing w:before="60"/>
        <w:rPr>
          <w:rFonts w:hAnsi="宋体"/>
          <w:color w:val="auto"/>
          <w:szCs w:val="21"/>
        </w:rPr>
      </w:pPr>
      <w:r>
        <w:rPr>
          <w:rFonts w:hint="eastAsia"/>
          <w:color w:val="auto"/>
        </w:rPr>
        <w:t xml:space="preserve"> 磋商文件中规定的“书面形式”包括纸质文件和磋商文件中规定的电子文件。</w:t>
      </w:r>
    </w:p>
    <w:p>
      <w:pPr>
        <w:pStyle w:val="3"/>
        <w:numPr>
          <w:ilvl w:val="0"/>
          <w:numId w:val="2"/>
        </w:numPr>
        <w:tabs>
          <w:tab w:val="left" w:pos="630"/>
          <w:tab w:val="clear" w:pos="420"/>
        </w:tabs>
        <w:spacing w:beforeLines="0" w:afterLines="0" w:line="360" w:lineRule="auto"/>
        <w:rPr>
          <w:color w:val="auto"/>
        </w:rPr>
      </w:pPr>
      <w:r>
        <w:rPr>
          <w:rFonts w:hint="eastAsia"/>
          <w:color w:val="auto"/>
        </w:rPr>
        <w:t>合格的报价人</w:t>
      </w:r>
    </w:p>
    <w:p>
      <w:pPr>
        <w:spacing w:line="360" w:lineRule="auto"/>
        <w:ind w:left="630" w:hanging="630" w:hangingChars="300"/>
        <w:rPr>
          <w:rFonts w:hint="eastAsia" w:ascii="宋体" w:hAnsi="宋体"/>
          <w:color w:val="auto"/>
        </w:rPr>
      </w:pPr>
      <w:r>
        <w:rPr>
          <w:rFonts w:hint="eastAsia" w:ascii="宋体" w:hAnsi="宋体"/>
          <w:color w:val="auto"/>
        </w:rPr>
        <w:t xml:space="preserve">3.1   </w:t>
      </w:r>
      <w:r>
        <w:rPr>
          <w:rFonts w:hint="eastAsia" w:ascii="宋体" w:hAnsi="宋体"/>
          <w:color w:val="auto"/>
          <w:lang w:eastAsia="zh-CN"/>
        </w:rPr>
        <w:t>报价人</w:t>
      </w:r>
      <w:r>
        <w:rPr>
          <w:rFonts w:hint="eastAsia" w:ascii="宋体" w:hAnsi="宋体"/>
          <w:color w:val="auto"/>
        </w:rPr>
        <w:t>具有独立承担民事责任能力的在中华人民共和国境内注册的法人，具有从事本项目的经营范围和能力；</w:t>
      </w:r>
    </w:p>
    <w:p>
      <w:pPr>
        <w:spacing w:line="360" w:lineRule="auto"/>
        <w:ind w:left="630" w:hanging="630" w:hangingChars="300"/>
        <w:rPr>
          <w:rFonts w:hint="eastAsia" w:ascii="宋体" w:hAnsi="宋体"/>
          <w:color w:val="auto"/>
        </w:rPr>
      </w:pPr>
      <w:r>
        <w:rPr>
          <w:rFonts w:hint="eastAsia" w:ascii="宋体" w:hAnsi="宋体"/>
          <w:color w:val="auto"/>
          <w:szCs w:val="21"/>
        </w:rPr>
        <w:t>3.</w:t>
      </w:r>
      <w:r>
        <w:rPr>
          <w:rFonts w:hint="eastAsia" w:ascii="宋体" w:hAnsi="宋体"/>
          <w:color w:val="auto"/>
          <w:szCs w:val="21"/>
          <w:lang w:val="en-US" w:eastAsia="zh-CN"/>
        </w:rPr>
        <w:t>2</w:t>
      </w:r>
      <w:r>
        <w:rPr>
          <w:rFonts w:hint="eastAsia" w:ascii="宋体" w:hAnsi="宋体"/>
          <w:color w:val="auto"/>
          <w:szCs w:val="21"/>
        </w:rPr>
        <w:t xml:space="preserve">   </w:t>
      </w:r>
      <w:r>
        <w:rPr>
          <w:rFonts w:hint="eastAsia"/>
          <w:color w:val="auto"/>
          <w:szCs w:val="21"/>
        </w:rPr>
        <w:t>提供</w:t>
      </w:r>
      <w:r>
        <w:rPr>
          <w:rFonts w:hint="eastAsia"/>
          <w:color w:val="auto"/>
          <w:szCs w:val="21"/>
          <w:lang w:eastAsia="zh-CN"/>
        </w:rPr>
        <w:t>报价人</w:t>
      </w:r>
      <w:r>
        <w:rPr>
          <w:rFonts w:hint="eastAsia"/>
          <w:color w:val="auto"/>
          <w:szCs w:val="21"/>
        </w:rPr>
        <w:t>住所地或者业务发生地人民检察院出具的无行贿犯罪档案查询结果告知函【自出具之日起前</w:t>
      </w:r>
      <w:r>
        <w:rPr>
          <w:color w:val="auto"/>
          <w:szCs w:val="21"/>
        </w:rPr>
        <w:t>3</w:t>
      </w:r>
      <w:r>
        <w:rPr>
          <w:rFonts w:hint="eastAsia"/>
          <w:color w:val="auto"/>
          <w:szCs w:val="21"/>
        </w:rPr>
        <w:t>年内无行贿犯罪档案记录，若</w:t>
      </w:r>
      <w:r>
        <w:rPr>
          <w:rFonts w:hint="eastAsia"/>
          <w:color w:val="auto"/>
          <w:szCs w:val="21"/>
          <w:lang w:eastAsia="zh-CN"/>
        </w:rPr>
        <w:t>报价人</w:t>
      </w:r>
      <w:r>
        <w:rPr>
          <w:rFonts w:hint="eastAsia"/>
          <w:color w:val="auto"/>
          <w:szCs w:val="21"/>
        </w:rPr>
        <w:t>自成立之日起不足</w:t>
      </w:r>
      <w:r>
        <w:rPr>
          <w:color w:val="auto"/>
          <w:szCs w:val="21"/>
        </w:rPr>
        <w:t>3</w:t>
      </w:r>
      <w:r>
        <w:rPr>
          <w:rFonts w:hint="eastAsia"/>
          <w:color w:val="auto"/>
          <w:szCs w:val="21"/>
        </w:rPr>
        <w:t>年的，则出具自成立之日起至出具之日无行贿犯罪档案纪录。无行贿犯罪档案查询结果告知函有效期自出具之日</w:t>
      </w:r>
      <w:r>
        <w:rPr>
          <w:color w:val="auto"/>
          <w:szCs w:val="21"/>
        </w:rPr>
        <w:t>2</w:t>
      </w:r>
      <w:r>
        <w:rPr>
          <w:rFonts w:hint="eastAsia"/>
          <w:color w:val="auto"/>
          <w:szCs w:val="21"/>
        </w:rPr>
        <w:t>个月内有效，开标时间必须在有效期内，报名时提供复印件并加盖公章，原件核查。</w:t>
      </w:r>
      <w:r>
        <w:rPr>
          <w:rFonts w:hint="eastAsia" w:ascii="宋体" w:hAnsi="宋体"/>
          <w:color w:val="auto"/>
        </w:rPr>
        <w:t>投标时</w:t>
      </w:r>
      <w:r>
        <w:rPr>
          <w:rFonts w:hint="eastAsia" w:ascii="宋体" w:hAnsi="宋体"/>
          <w:color w:val="auto"/>
          <w:lang w:eastAsia="zh-CN"/>
        </w:rPr>
        <w:t>随投标文件将原件放在正本中</w:t>
      </w:r>
      <w:r>
        <w:rPr>
          <w:rFonts w:hint="eastAsia" w:ascii="宋体" w:hAnsi="宋体"/>
          <w:color w:val="auto"/>
        </w:rPr>
        <w:t>。</w:t>
      </w:r>
      <w:r>
        <w:rPr>
          <w:rFonts w:hint="eastAsia"/>
          <w:color w:val="auto"/>
          <w:szCs w:val="21"/>
        </w:rPr>
        <w:t>】</w:t>
      </w:r>
    </w:p>
    <w:p>
      <w:pPr>
        <w:spacing w:line="360" w:lineRule="auto"/>
        <w:rPr>
          <w:rFonts w:hint="eastAsia" w:ascii="宋体" w:hAnsi="宋体"/>
          <w:color w:val="auto"/>
        </w:rPr>
      </w:pPr>
      <w:r>
        <w:rPr>
          <w:rFonts w:hint="eastAsia" w:ascii="宋体" w:hAnsi="宋体"/>
          <w:color w:val="auto"/>
        </w:rPr>
        <w:t>3.</w:t>
      </w:r>
      <w:r>
        <w:rPr>
          <w:rFonts w:hint="eastAsia" w:ascii="宋体" w:hAnsi="宋体"/>
          <w:color w:val="auto"/>
          <w:lang w:val="en-US" w:eastAsia="zh-CN"/>
        </w:rPr>
        <w:t>3</w:t>
      </w:r>
      <w:r>
        <w:rPr>
          <w:rFonts w:hint="eastAsia" w:ascii="宋体" w:hAnsi="宋体"/>
          <w:color w:val="auto"/>
        </w:rPr>
        <w:t xml:space="preserve">   符合《中华人民共和国政府采购法》第二十二条的规定。</w:t>
      </w:r>
    </w:p>
    <w:p>
      <w:pPr>
        <w:pStyle w:val="24"/>
        <w:spacing w:before="0" w:beforeAutospacing="0" w:after="0" w:afterAutospacing="0" w:line="480" w:lineRule="auto"/>
        <w:rPr>
          <w:rFonts w:hint="eastAsia"/>
          <w:color w:val="auto"/>
          <w:sz w:val="21"/>
        </w:rPr>
      </w:pPr>
      <w:r>
        <w:rPr>
          <w:rFonts w:hint="eastAsia"/>
          <w:color w:val="auto"/>
          <w:sz w:val="21"/>
        </w:rPr>
        <w:t>1）法人或者其他组织的营业执照、组织机构代码证和税务登记证（或三证合一证明）证明文件。</w:t>
      </w:r>
    </w:p>
    <w:p>
      <w:pPr>
        <w:pStyle w:val="24"/>
        <w:spacing w:before="0" w:beforeAutospacing="0" w:after="0" w:afterAutospacing="0" w:line="480" w:lineRule="auto"/>
        <w:rPr>
          <w:rFonts w:hint="eastAsia"/>
          <w:color w:val="auto"/>
          <w:sz w:val="21"/>
        </w:rPr>
      </w:pPr>
      <w:r>
        <w:rPr>
          <w:rFonts w:hint="eastAsia"/>
          <w:color w:val="auto"/>
          <w:sz w:val="21"/>
        </w:rPr>
        <w:t>2）2015年、2016年的财务报告；其他组织可提供银行出具的资信证明；</w:t>
      </w:r>
      <w:r>
        <w:rPr>
          <w:rFonts w:hint="eastAsia"/>
          <w:color w:val="auto"/>
          <w:sz w:val="21"/>
          <w:lang w:eastAsia="zh-CN"/>
        </w:rPr>
        <w:t>报价人</w:t>
      </w:r>
      <w:r>
        <w:rPr>
          <w:rFonts w:hint="eastAsia"/>
          <w:color w:val="auto"/>
          <w:sz w:val="21"/>
        </w:rPr>
        <w:t>为新注册的，提供其中任意一个月的财务状况报告复印件。</w:t>
      </w:r>
    </w:p>
    <w:p>
      <w:pPr>
        <w:pStyle w:val="24"/>
        <w:spacing w:before="0" w:beforeAutospacing="0" w:after="0" w:afterAutospacing="0" w:line="480" w:lineRule="auto"/>
        <w:rPr>
          <w:rFonts w:hint="eastAsia"/>
          <w:color w:val="auto"/>
          <w:sz w:val="21"/>
        </w:rPr>
      </w:pPr>
      <w:r>
        <w:rPr>
          <w:rFonts w:hint="eastAsia"/>
          <w:color w:val="auto"/>
          <w:sz w:val="21"/>
        </w:rPr>
        <w:t>3）2017年</w:t>
      </w:r>
      <w:r>
        <w:rPr>
          <w:rFonts w:hint="eastAsia"/>
          <w:color w:val="auto"/>
          <w:sz w:val="21"/>
          <w:lang w:val="en-US" w:eastAsia="zh-CN"/>
        </w:rPr>
        <w:t>7</w:t>
      </w:r>
      <w:r>
        <w:rPr>
          <w:rFonts w:hint="eastAsia"/>
          <w:color w:val="auto"/>
          <w:sz w:val="21"/>
        </w:rPr>
        <w:t>月-</w:t>
      </w:r>
      <w:r>
        <w:rPr>
          <w:rFonts w:hint="eastAsia"/>
          <w:color w:val="auto"/>
          <w:sz w:val="21"/>
          <w:lang w:val="en-US" w:eastAsia="zh-CN"/>
        </w:rPr>
        <w:t>12</w:t>
      </w:r>
      <w:r>
        <w:rPr>
          <w:rFonts w:hint="eastAsia"/>
          <w:color w:val="auto"/>
          <w:sz w:val="21"/>
        </w:rPr>
        <w:t>月（至少提供其中任意一个月）缴纳税收和社保的凭证。如依法免税或不需要缴纳社会保障资金的，应提供相应文件证明。</w:t>
      </w:r>
    </w:p>
    <w:p>
      <w:pPr>
        <w:pStyle w:val="24"/>
        <w:spacing w:before="0" w:beforeAutospacing="0" w:after="0" w:afterAutospacing="0" w:line="480" w:lineRule="auto"/>
        <w:rPr>
          <w:rFonts w:hint="eastAsia"/>
          <w:color w:val="auto"/>
          <w:sz w:val="21"/>
        </w:rPr>
      </w:pPr>
      <w:r>
        <w:rPr>
          <w:rFonts w:hint="eastAsia"/>
          <w:color w:val="auto"/>
          <w:sz w:val="21"/>
        </w:rPr>
        <w:t>4）提供设备的清单以及技术人员的名单材料。</w:t>
      </w:r>
    </w:p>
    <w:p>
      <w:pPr>
        <w:keepNext w:val="0"/>
        <w:keepLines w:val="0"/>
        <w:pageBreakBefore w:val="0"/>
        <w:widowControl/>
        <w:kinsoku/>
        <w:wordWrap/>
        <w:overflowPunct/>
        <w:topLinePunct w:val="0"/>
        <w:autoSpaceDE/>
        <w:autoSpaceDN/>
        <w:bidi w:val="0"/>
        <w:adjustRightInd/>
        <w:snapToGrid/>
        <w:spacing w:line="480" w:lineRule="exact"/>
        <w:ind w:right="0" w:rightChars="0"/>
        <w:jc w:val="left"/>
        <w:textAlignment w:val="auto"/>
        <w:rPr>
          <w:rFonts w:hint="eastAsia" w:ascii="宋体" w:hAnsi="宋体"/>
          <w:color w:val="auto"/>
        </w:rPr>
      </w:pPr>
      <w:r>
        <w:rPr>
          <w:rFonts w:hint="eastAsia"/>
          <w:color w:val="auto"/>
          <w:sz w:val="21"/>
        </w:rPr>
        <w:t>5）提供参加政府采购活动前3年内在经营活动中没有重大违法记录的书面声明。</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color w:val="auto"/>
          <w:szCs w:val="21"/>
          <w:lang w:eastAsia="zh-CN"/>
        </w:rPr>
      </w:pPr>
      <w:r>
        <w:rPr>
          <w:rFonts w:hint="eastAsia" w:ascii="宋体" w:hAnsi="宋体"/>
          <w:color w:val="auto"/>
          <w:lang w:val="en-US" w:eastAsia="zh-CN"/>
        </w:rPr>
        <w:t>3.4</w:t>
      </w:r>
      <w:r>
        <w:rPr>
          <w:color w:val="auto"/>
          <w:lang w:val="en-US" w:eastAsia="zh-CN"/>
        </w:rPr>
        <w:t>按照《财政部关于在政府采购活动中查询及使用信用记录有关问题的通知》（财库﹝2016﹞125号）的要求，根据评审时“信用中国”网站（</w:t>
      </w:r>
      <w:r>
        <w:rPr>
          <w:color w:val="auto"/>
          <w:lang w:val="en-US" w:eastAsia="zh-CN"/>
        </w:rPr>
        <w:drawing>
          <wp:inline distT="0" distB="0" distL="114300" distR="114300">
            <wp:extent cx="190500" cy="142875"/>
            <wp:effectExtent l="0" t="0" r="0" b="9525"/>
            <wp:docPr id="6"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IMG_256"/>
                    <pic:cNvPicPr>
                      <a:picLocks noChangeAspect="1"/>
                    </pic:cNvPicPr>
                  </pic:nvPicPr>
                  <pic:blipFill>
                    <a:blip r:embed="rId19"/>
                    <a:stretch>
                      <a:fillRect/>
                    </a:stretch>
                  </pic:blipFill>
                  <pic:spPr>
                    <a:xfrm>
                      <a:off x="0" y="0"/>
                      <a:ext cx="190500" cy="142875"/>
                    </a:xfrm>
                    <a:prstGeom prst="rect">
                      <a:avLst/>
                    </a:prstGeom>
                    <a:noFill/>
                    <a:ln w="9525">
                      <a:noFill/>
                    </a:ln>
                  </pic:spPr>
                </pic:pic>
              </a:graphicData>
            </a:graphic>
          </wp:inline>
        </w:drawing>
      </w:r>
      <w:r>
        <w:rPr>
          <w:color w:val="auto"/>
          <w:lang w:val="en-US" w:eastAsia="zh-CN"/>
        </w:rPr>
        <w:t>www.creditchina.gov.cn）</w:t>
      </w:r>
      <w:r>
        <w:rPr>
          <w:rFonts w:hint="eastAsia"/>
          <w:color w:val="auto"/>
          <w:lang w:val="en-US" w:eastAsia="zh-CN"/>
        </w:rPr>
        <w:t>、</w:t>
      </w:r>
      <w:r>
        <w:rPr>
          <w:rFonts w:hint="eastAsia" w:ascii="宋体" w:hAnsi="宋体"/>
          <w:bCs/>
          <w:color w:val="auto"/>
          <w:szCs w:val="21"/>
        </w:rPr>
        <w:t>中国政府采购网(www.ccgp.gov.cn)</w:t>
      </w:r>
      <w:r>
        <w:rPr>
          <w:color w:val="auto"/>
          <w:lang w:val="en-US" w:eastAsia="zh-CN"/>
        </w:rPr>
        <w:t>的信息，对列入失信被执行人、重大税收违法案件当事人名单、政府采购严重违法失信行为记录名单的供应商，拒绝其参与政府采购活动（如查询结果显示“没查到您要的信息”，视为没有上述三类不良信用记录）</w:t>
      </w:r>
      <w:r>
        <w:rPr>
          <w:rFonts w:hint="eastAsia"/>
          <w:color w:val="auto"/>
          <w:lang w:val="en-US" w:eastAsia="zh-CN"/>
        </w:rPr>
        <w:t>，处罚期限届满的除外</w:t>
      </w:r>
      <w:r>
        <w:rPr>
          <w:color w:val="auto"/>
          <w:lang w:val="en-US" w:eastAsia="zh-CN"/>
        </w:rPr>
        <w:t> 。同时提供对信用信息记录</w:t>
      </w:r>
      <w:r>
        <w:rPr>
          <w:rFonts w:hint="eastAsia"/>
          <w:color w:val="auto"/>
          <w:szCs w:val="21"/>
        </w:rPr>
        <w:t>查询结果打印页面</w:t>
      </w:r>
      <w:r>
        <w:rPr>
          <w:rFonts w:hint="eastAsia"/>
          <w:color w:val="auto"/>
          <w:lang w:val="en-US" w:eastAsia="zh-CN"/>
        </w:rPr>
        <w:t>并加盖公章</w:t>
      </w:r>
      <w:r>
        <w:rPr>
          <w:rFonts w:hint="eastAsia"/>
          <w:color w:val="auto"/>
          <w:szCs w:val="21"/>
          <w:lang w:eastAsia="zh-CN"/>
        </w:rPr>
        <w:t>。</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color w:val="auto"/>
          <w:szCs w:val="21"/>
          <w:lang w:val="en-US" w:eastAsia="zh-CN"/>
        </w:rPr>
      </w:pPr>
      <w:r>
        <w:rPr>
          <w:rFonts w:hint="eastAsia"/>
          <w:color w:val="auto"/>
          <w:szCs w:val="21"/>
          <w:lang w:val="en-US" w:eastAsia="zh-CN"/>
        </w:rPr>
        <w:t>3.5  为采购项目提供整体设计、规范编制或者项目管理、监理、检测等服务的供应商，不得再参加该采购项目的其他采购活动。（提供《承诺书》）；</w:t>
      </w:r>
    </w:p>
    <w:p>
      <w:pPr>
        <w:keepNext w:val="0"/>
        <w:keepLines w:val="0"/>
        <w:pageBreakBefore w:val="0"/>
        <w:widowControl/>
        <w:kinsoku/>
        <w:wordWrap/>
        <w:overflowPunct/>
        <w:topLinePunct w:val="0"/>
        <w:autoSpaceDE/>
        <w:autoSpaceDN/>
        <w:bidi w:val="0"/>
        <w:spacing w:line="480" w:lineRule="exact"/>
        <w:ind w:left="0" w:leftChars="0" w:right="0" w:rightChars="0" w:firstLine="0" w:firstLineChars="0"/>
        <w:jc w:val="left"/>
        <w:textAlignment w:val="auto"/>
        <w:rPr>
          <w:rFonts w:hint="eastAsia" w:ascii="宋体" w:hAnsi="宋体"/>
          <w:color w:val="auto"/>
          <w:sz w:val="21"/>
          <w:szCs w:val="21"/>
          <w:lang w:eastAsia="zh-CN"/>
        </w:rPr>
      </w:pPr>
      <w:r>
        <w:rPr>
          <w:rFonts w:hint="eastAsia"/>
          <w:color w:val="auto"/>
          <w:szCs w:val="21"/>
          <w:lang w:val="en-US" w:eastAsia="zh-CN"/>
        </w:rPr>
        <w:t xml:space="preserve">3.6  </w:t>
      </w:r>
      <w:r>
        <w:rPr>
          <w:rFonts w:hint="eastAsia" w:ascii="宋体" w:hAnsi="宋体"/>
          <w:color w:val="auto"/>
          <w:sz w:val="21"/>
          <w:szCs w:val="21"/>
        </w:rPr>
        <w:t>单位负责人为同一人或者存在直接控股、管理关系的不同供应商，不得参加同一合同项下的政府采购活动（以国家企业信用信息公示系统www.gsxt.gov.cn查询结果为准）</w:t>
      </w:r>
      <w:r>
        <w:rPr>
          <w:rFonts w:hint="eastAsia" w:ascii="宋体" w:hAnsi="宋体"/>
          <w:color w:val="auto"/>
          <w:sz w:val="21"/>
          <w:szCs w:val="21"/>
          <w:lang w:eastAsia="zh-CN"/>
        </w:rPr>
        <w:t>；</w:t>
      </w:r>
    </w:p>
    <w:p>
      <w:pPr>
        <w:spacing w:line="480" w:lineRule="exact"/>
        <w:rPr>
          <w:rFonts w:hint="eastAsia"/>
          <w:color w:val="auto"/>
          <w:szCs w:val="21"/>
          <w:lang w:val="hr-HR" w:eastAsia="zh-CN"/>
        </w:rPr>
      </w:pPr>
      <w:r>
        <w:rPr>
          <w:rFonts w:hint="eastAsia"/>
          <w:color w:val="auto"/>
          <w:szCs w:val="21"/>
          <w:lang w:val="en-US" w:eastAsia="zh-CN"/>
        </w:rPr>
        <w:t>3.7</w:t>
      </w:r>
      <w:r>
        <w:rPr>
          <w:rFonts w:hint="eastAsia"/>
          <w:color w:val="auto"/>
          <w:szCs w:val="21"/>
          <w:lang w:val="hr-HR" w:eastAsia="zh-CN"/>
        </w:rPr>
        <w:t>报价人必须具有建设行政主管部门颁发的工程造价咨询机构乙级或以上资质证书；</w:t>
      </w:r>
    </w:p>
    <w:p>
      <w:pPr>
        <w:spacing w:line="480" w:lineRule="exact"/>
        <w:rPr>
          <w:rFonts w:hint="eastAsia" w:ascii="宋体" w:hAnsi="宋体"/>
          <w:color w:val="auto"/>
          <w:sz w:val="21"/>
          <w:szCs w:val="21"/>
          <w:lang w:val="en-US" w:eastAsia="zh-CN"/>
        </w:rPr>
      </w:pPr>
      <w:r>
        <w:rPr>
          <w:rFonts w:hint="eastAsia"/>
          <w:color w:val="auto"/>
          <w:szCs w:val="21"/>
          <w:lang w:val="en-US" w:eastAsia="zh-CN"/>
        </w:rPr>
        <w:t>3.8</w:t>
      </w:r>
      <w:r>
        <w:rPr>
          <w:rFonts w:hint="eastAsia" w:ascii="宋体" w:hAnsi="宋体"/>
          <w:color w:val="auto"/>
          <w:szCs w:val="21"/>
          <w:lang w:val="hr-HR" w:eastAsia="zh-CN"/>
        </w:rPr>
        <w:t>报价人</w:t>
      </w:r>
      <w:r>
        <w:rPr>
          <w:rFonts w:hint="eastAsia" w:ascii="宋体" w:hAnsi="宋体"/>
          <w:color w:val="auto"/>
          <w:szCs w:val="21"/>
          <w:lang w:val="hr-HR"/>
        </w:rPr>
        <w:t>具有云浮市（区）建设行政主管部门颁发的有效的《云浮市建筑行业诚信手册》，有效是指诚信管理系统状态显示为“正常”。《云浮市建筑行业诚信手册》的有效范围是最新</w:t>
      </w:r>
      <w:r>
        <w:rPr>
          <w:rFonts w:hint="eastAsia" w:ascii="宋体" w:hAnsi="宋体"/>
          <w:color w:val="auto"/>
          <w:szCs w:val="21"/>
        </w:rPr>
        <w:t>年度考评结论为C或以上的</w:t>
      </w:r>
      <w:r>
        <w:rPr>
          <w:rFonts w:hint="eastAsia" w:ascii="宋体" w:hAnsi="宋体"/>
          <w:color w:val="auto"/>
          <w:szCs w:val="21"/>
          <w:lang w:eastAsia="zh-CN"/>
        </w:rPr>
        <w:t>。</w:t>
      </w:r>
    </w:p>
    <w:p>
      <w:pPr>
        <w:pStyle w:val="4"/>
        <w:tabs>
          <w:tab w:val="left" w:pos="360"/>
          <w:tab w:val="left" w:pos="720"/>
        </w:tabs>
        <w:spacing w:before="60"/>
        <w:ind w:left="735" w:hanging="735" w:hangingChars="350"/>
        <w:rPr>
          <w:color w:val="auto"/>
        </w:rPr>
      </w:pPr>
      <w:r>
        <w:rPr>
          <w:rFonts w:hint="eastAsia"/>
          <w:color w:val="auto"/>
          <w:szCs w:val="21"/>
          <w:lang w:val="en-US" w:eastAsia="zh-CN"/>
        </w:rPr>
        <w:t>3.9</w:t>
      </w:r>
      <w:r>
        <w:rPr>
          <w:rFonts w:hint="eastAsia"/>
          <w:color w:val="auto"/>
          <w:szCs w:val="21"/>
        </w:rPr>
        <w:t>本项目不接受联合体投标。</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bookmarkStart w:id="6" w:name="_Toc61460073"/>
      <w:r>
        <w:rPr>
          <w:rFonts w:hint="eastAsia" w:ascii="宋体"/>
          <w:bCs w:val="0"/>
          <w:color w:val="auto"/>
          <w:kern w:val="2"/>
          <w:sz w:val="32"/>
          <w:szCs w:val="32"/>
        </w:rPr>
        <w:t>二、磋商文件</w:t>
      </w:r>
      <w:bookmarkEnd w:id="6"/>
    </w:p>
    <w:p>
      <w:pPr>
        <w:spacing w:before="60" w:line="360" w:lineRule="auto"/>
        <w:ind w:right="420" w:rightChars="200"/>
        <w:rPr>
          <w:rFonts w:ascii="宋体" w:hAnsi="宋体"/>
          <w:b/>
          <w:color w:val="auto"/>
          <w:sz w:val="24"/>
        </w:rPr>
      </w:pPr>
      <w:r>
        <w:rPr>
          <w:rFonts w:hint="eastAsia" w:ascii="宋体" w:hAnsi="宋体"/>
          <w:b/>
          <w:color w:val="auto"/>
          <w:sz w:val="24"/>
        </w:rPr>
        <w:t>1     磋商文件的组成</w:t>
      </w:r>
    </w:p>
    <w:p>
      <w:pPr>
        <w:widowControl w:val="0"/>
        <w:tabs>
          <w:tab w:val="left" w:pos="720"/>
          <w:tab w:val="left" w:pos="1438"/>
        </w:tabs>
        <w:spacing w:before="60" w:line="360" w:lineRule="auto"/>
        <w:ind w:left="720" w:right="420" w:rightChars="200" w:hanging="720"/>
        <w:rPr>
          <w:rFonts w:ascii="宋体" w:hAnsi="宋体"/>
          <w:color w:val="auto"/>
          <w:szCs w:val="21"/>
        </w:rPr>
      </w:pPr>
      <w:r>
        <w:rPr>
          <w:rFonts w:hint="eastAsia" w:ascii="宋体" w:hAnsi="宋体"/>
          <w:color w:val="auto"/>
          <w:szCs w:val="21"/>
        </w:rPr>
        <w:t>磋商文件包括以下部分：</w:t>
      </w:r>
    </w:p>
    <w:p>
      <w:pPr>
        <w:widowControl w:val="0"/>
        <w:numPr>
          <w:ilvl w:val="0"/>
          <w:numId w:val="3"/>
        </w:numPr>
        <w:spacing w:before="60" w:line="360" w:lineRule="auto"/>
        <w:rPr>
          <w:rFonts w:ascii="宋体" w:hAnsi="宋体"/>
          <w:color w:val="auto"/>
          <w:szCs w:val="21"/>
        </w:rPr>
      </w:pPr>
      <w:r>
        <w:rPr>
          <w:rFonts w:hint="eastAsia" w:ascii="宋体" w:hAnsi="宋体"/>
          <w:color w:val="auto"/>
          <w:szCs w:val="21"/>
        </w:rPr>
        <w:t>磋商邀请函；</w:t>
      </w:r>
    </w:p>
    <w:p>
      <w:pPr>
        <w:widowControl w:val="0"/>
        <w:numPr>
          <w:ilvl w:val="0"/>
          <w:numId w:val="3"/>
        </w:numPr>
        <w:spacing w:before="60" w:line="360" w:lineRule="auto"/>
        <w:rPr>
          <w:rFonts w:ascii="宋体" w:hAnsi="宋体"/>
          <w:color w:val="auto"/>
          <w:szCs w:val="21"/>
        </w:rPr>
      </w:pPr>
      <w:r>
        <w:rPr>
          <w:rFonts w:hint="eastAsia" w:ascii="宋体" w:hAnsi="宋体"/>
          <w:color w:val="auto"/>
          <w:szCs w:val="21"/>
        </w:rPr>
        <w:t>报价须知；</w:t>
      </w:r>
    </w:p>
    <w:p>
      <w:pPr>
        <w:widowControl w:val="0"/>
        <w:numPr>
          <w:ilvl w:val="0"/>
          <w:numId w:val="3"/>
        </w:numPr>
        <w:spacing w:before="60" w:line="360" w:lineRule="auto"/>
        <w:rPr>
          <w:rFonts w:ascii="宋体" w:hAnsi="宋体"/>
          <w:color w:val="auto"/>
          <w:szCs w:val="21"/>
        </w:rPr>
      </w:pPr>
      <w:r>
        <w:rPr>
          <w:rFonts w:hint="eastAsia" w:ascii="宋体" w:hAnsi="宋体"/>
          <w:color w:val="auto"/>
          <w:szCs w:val="21"/>
        </w:rPr>
        <w:t>用户需求书；</w:t>
      </w:r>
    </w:p>
    <w:p>
      <w:pPr>
        <w:widowControl w:val="0"/>
        <w:numPr>
          <w:ilvl w:val="0"/>
          <w:numId w:val="3"/>
        </w:numPr>
        <w:spacing w:before="60" w:line="360" w:lineRule="auto"/>
        <w:rPr>
          <w:rFonts w:ascii="宋体" w:hAnsi="宋体"/>
          <w:color w:val="auto"/>
          <w:szCs w:val="21"/>
        </w:rPr>
      </w:pPr>
      <w:r>
        <w:rPr>
          <w:rFonts w:hint="eastAsia" w:ascii="宋体" w:hAnsi="宋体"/>
          <w:color w:val="auto"/>
          <w:szCs w:val="21"/>
        </w:rPr>
        <w:t>合同条款；</w:t>
      </w:r>
    </w:p>
    <w:p>
      <w:pPr>
        <w:widowControl w:val="0"/>
        <w:numPr>
          <w:ilvl w:val="0"/>
          <w:numId w:val="3"/>
        </w:numPr>
        <w:spacing w:before="60" w:line="360" w:lineRule="auto"/>
        <w:rPr>
          <w:rFonts w:ascii="宋体" w:hAnsi="宋体"/>
          <w:color w:val="auto"/>
          <w:szCs w:val="21"/>
        </w:rPr>
      </w:pPr>
      <w:r>
        <w:rPr>
          <w:rFonts w:hint="eastAsia" w:ascii="宋体" w:hAnsi="宋体"/>
          <w:color w:val="auto"/>
          <w:szCs w:val="21"/>
        </w:rPr>
        <w:t>报价文件格式。</w:t>
      </w:r>
    </w:p>
    <w:p>
      <w:pPr>
        <w:spacing w:before="60" w:line="360" w:lineRule="auto"/>
        <w:ind w:right="420" w:rightChars="200"/>
        <w:rPr>
          <w:rFonts w:ascii="宋体" w:hAnsi="宋体"/>
          <w:b/>
          <w:color w:val="auto"/>
          <w:sz w:val="24"/>
        </w:rPr>
      </w:pPr>
      <w:r>
        <w:rPr>
          <w:rFonts w:ascii="宋体" w:hAnsi="宋体"/>
          <w:b/>
          <w:color w:val="auto"/>
          <w:sz w:val="24"/>
        </w:rPr>
        <w:t>2</w:t>
      </w:r>
      <w:r>
        <w:rPr>
          <w:rFonts w:hint="eastAsia" w:ascii="宋体" w:hAnsi="宋体"/>
          <w:b/>
          <w:color w:val="auto"/>
          <w:sz w:val="24"/>
        </w:rPr>
        <w:t xml:space="preserve">     磋商文件的澄清</w:t>
      </w:r>
    </w:p>
    <w:p>
      <w:pPr>
        <w:widowControl w:val="0"/>
        <w:numPr>
          <w:ilvl w:val="0"/>
          <w:numId w:val="4"/>
        </w:numPr>
        <w:tabs>
          <w:tab w:val="left" w:pos="7920"/>
        </w:tabs>
        <w:spacing w:before="60" w:line="360" w:lineRule="auto"/>
        <w:rPr>
          <w:rFonts w:ascii="宋体" w:hAnsi="宋体"/>
          <w:color w:val="auto"/>
          <w:szCs w:val="21"/>
        </w:rPr>
      </w:pPr>
      <w:r>
        <w:rPr>
          <w:rFonts w:hint="eastAsia" w:ascii="宋体" w:hAnsi="宋体"/>
          <w:color w:val="auto"/>
          <w:szCs w:val="21"/>
        </w:rPr>
        <w:t>采购代理机构负责对磋商文件解释并视情况对本项目中比较复杂的事项进行说明和依法回答报价人提出的疑问及问题。需要澄清和回答的疑问和问题应以书面形式按本文件规定的联系方式和地址送达采购代理机构。采购代理机构将根据具体情况采用其认为适当的方式予以回复, 并在必要时将不标明问题来源的书面答复发给本项目的报价人。该澄清答复将视为本文件的组成部分。</w:t>
      </w:r>
    </w:p>
    <w:p>
      <w:pPr>
        <w:spacing w:before="60" w:line="360" w:lineRule="auto"/>
        <w:ind w:right="420" w:rightChars="200"/>
        <w:rPr>
          <w:rFonts w:ascii="宋体" w:hAnsi="宋体"/>
          <w:b/>
          <w:color w:val="auto"/>
          <w:sz w:val="24"/>
        </w:rPr>
      </w:pPr>
      <w:r>
        <w:rPr>
          <w:rFonts w:hint="eastAsia" w:ascii="宋体" w:hAnsi="宋体"/>
          <w:b/>
          <w:color w:val="auto"/>
          <w:sz w:val="24"/>
        </w:rPr>
        <w:t>3     磋商文件的补充和修改</w:t>
      </w:r>
    </w:p>
    <w:p>
      <w:pPr>
        <w:widowControl w:val="0"/>
        <w:tabs>
          <w:tab w:val="left" w:pos="720"/>
        </w:tabs>
        <w:spacing w:before="60" w:line="360" w:lineRule="auto"/>
        <w:rPr>
          <w:rFonts w:ascii="宋体" w:hAnsi="宋体"/>
          <w:color w:val="auto"/>
          <w:szCs w:val="21"/>
        </w:rPr>
      </w:pPr>
      <w:r>
        <w:rPr>
          <w:rFonts w:hint="eastAsia" w:ascii="宋体" w:hAnsi="宋体"/>
          <w:color w:val="auto"/>
          <w:szCs w:val="21"/>
        </w:rPr>
        <w:t>3．1   根据项目的需要,采购代理机构可对磋商文件进行修改和变更。</w:t>
      </w:r>
    </w:p>
    <w:p>
      <w:pPr>
        <w:widowControl w:val="0"/>
        <w:tabs>
          <w:tab w:val="left" w:pos="720"/>
        </w:tabs>
        <w:spacing w:before="60" w:line="360" w:lineRule="auto"/>
        <w:ind w:left="735" w:hanging="735" w:hangingChars="350"/>
        <w:rPr>
          <w:rFonts w:ascii="宋体" w:hAnsi="宋体"/>
          <w:color w:val="auto"/>
          <w:szCs w:val="21"/>
        </w:rPr>
      </w:pPr>
      <w:r>
        <w:rPr>
          <w:rFonts w:hint="eastAsia" w:ascii="宋体" w:hAnsi="宋体"/>
          <w:color w:val="auto"/>
          <w:szCs w:val="21"/>
        </w:rPr>
        <w:t>3．2   磋商文件的修改将以书面的形式于报价递交截止时间前通知本磋商文件的所有收受人。该修改文件将构成磋商文件的一部分。报价人应在收到该修改文件后立即以书面形式予以确认并受其约束。</w:t>
      </w:r>
    </w:p>
    <w:p>
      <w:pPr>
        <w:widowControl w:val="0"/>
        <w:tabs>
          <w:tab w:val="left" w:pos="720"/>
        </w:tabs>
        <w:spacing w:before="60" w:line="360" w:lineRule="auto"/>
        <w:rPr>
          <w:rFonts w:ascii="宋体" w:hAnsi="宋体"/>
          <w:color w:val="auto"/>
          <w:szCs w:val="21"/>
        </w:rPr>
      </w:pPr>
      <w:r>
        <w:rPr>
          <w:rFonts w:hint="eastAsia" w:ascii="宋体" w:hAnsi="宋体"/>
          <w:color w:val="auto"/>
          <w:szCs w:val="21"/>
        </w:rPr>
        <w:t>3．3   考虑到该修改和变更的影响，采购人和采购代理机构可决定推迟报价</w:t>
      </w:r>
      <w:r>
        <w:rPr>
          <w:rFonts w:hint="eastAsia" w:ascii="宋体" w:hAnsi="宋体"/>
          <w:color w:val="auto"/>
          <w:szCs w:val="21"/>
          <w:lang w:val="en-US" w:eastAsia="zh-CN"/>
        </w:rPr>
        <w:t>文件</w:t>
      </w:r>
      <w:r>
        <w:rPr>
          <w:rFonts w:hint="eastAsia" w:ascii="宋体" w:hAnsi="宋体"/>
          <w:color w:val="auto"/>
          <w:szCs w:val="21"/>
        </w:rPr>
        <w:t>递交截止时间。</w:t>
      </w:r>
    </w:p>
    <w:p>
      <w:pPr>
        <w:widowControl w:val="0"/>
        <w:tabs>
          <w:tab w:val="left" w:pos="720"/>
        </w:tabs>
        <w:spacing w:before="60" w:line="360" w:lineRule="auto"/>
        <w:ind w:left="735" w:hanging="735" w:hangingChars="350"/>
        <w:rPr>
          <w:rFonts w:ascii="宋体" w:hAnsi="宋体"/>
          <w:color w:val="auto"/>
          <w:szCs w:val="21"/>
        </w:rPr>
      </w:pPr>
      <w:r>
        <w:rPr>
          <w:rFonts w:hint="eastAsia" w:ascii="宋体" w:hAnsi="宋体"/>
          <w:color w:val="auto"/>
          <w:szCs w:val="21"/>
        </w:rPr>
        <w:t>3．4   在磋商过程中,磋商文件内容如有实质性的变更,磋商小组应以书面形式通知所有参与磋商的报价人。若报价人对此类实质性变更不予接受,可以要求退出磋商,否则将被视为接受此变更并受其约束。</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三、报价文件</w:t>
      </w:r>
    </w:p>
    <w:p>
      <w:pPr>
        <w:tabs>
          <w:tab w:val="left" w:pos="360"/>
          <w:tab w:val="left" w:pos="720"/>
        </w:tabs>
        <w:spacing w:before="60" w:line="360" w:lineRule="auto"/>
        <w:ind w:leftChars="-1" w:hanging="2"/>
        <w:rPr>
          <w:rFonts w:ascii="宋体" w:hAnsi="宋体"/>
          <w:b/>
          <w:color w:val="auto"/>
          <w:sz w:val="24"/>
        </w:rPr>
      </w:pPr>
      <w:r>
        <w:rPr>
          <w:rFonts w:ascii="宋体" w:hAnsi="宋体"/>
          <w:b/>
          <w:color w:val="auto"/>
          <w:sz w:val="24"/>
        </w:rPr>
        <w:t xml:space="preserve">1 </w:t>
      </w:r>
      <w:r>
        <w:rPr>
          <w:rFonts w:hint="eastAsia" w:ascii="宋体" w:hAnsi="宋体"/>
          <w:b/>
          <w:color w:val="auto"/>
          <w:sz w:val="24"/>
        </w:rPr>
        <w:t xml:space="preserve">    报价文件的编写</w:t>
      </w:r>
    </w:p>
    <w:p>
      <w:pPr>
        <w:widowControl w:val="0"/>
        <w:numPr>
          <w:ilvl w:val="0"/>
          <w:numId w:val="5"/>
        </w:numPr>
        <w:tabs>
          <w:tab w:val="left" w:pos="735"/>
          <w:tab w:val="left" w:pos="1080"/>
          <w:tab w:val="clear" w:pos="1438"/>
        </w:tabs>
        <w:spacing w:before="60" w:line="360" w:lineRule="auto"/>
        <w:ind w:left="720"/>
        <w:rPr>
          <w:rFonts w:ascii="宋体" w:hAnsi="宋体"/>
          <w:color w:val="auto"/>
          <w:szCs w:val="21"/>
        </w:rPr>
      </w:pPr>
      <w:r>
        <w:rPr>
          <w:rFonts w:hint="eastAsia" w:ascii="宋体" w:hAnsi="宋体"/>
          <w:color w:val="auto"/>
          <w:szCs w:val="21"/>
        </w:rPr>
        <w:t>报价人应仔细阅读磋商文件的所有内容，并按其规定的内容和格式，提交完整的报价文件。</w:t>
      </w:r>
    </w:p>
    <w:p>
      <w:pPr>
        <w:widowControl w:val="0"/>
        <w:numPr>
          <w:ilvl w:val="0"/>
          <w:numId w:val="5"/>
        </w:numPr>
        <w:tabs>
          <w:tab w:val="left" w:pos="735"/>
          <w:tab w:val="left" w:pos="1080"/>
          <w:tab w:val="clear" w:pos="1438"/>
        </w:tabs>
        <w:spacing w:before="60" w:line="360" w:lineRule="auto"/>
        <w:ind w:left="720"/>
        <w:rPr>
          <w:rFonts w:ascii="宋体" w:hAnsi="宋体"/>
          <w:color w:val="auto"/>
          <w:szCs w:val="21"/>
        </w:rPr>
      </w:pPr>
      <w:r>
        <w:rPr>
          <w:rFonts w:hint="eastAsia" w:ascii="宋体" w:hAnsi="宋体"/>
          <w:color w:val="auto"/>
          <w:szCs w:val="21"/>
        </w:rPr>
        <w:t>报价文件和来往函件应用中文书写，计量单位应使用中华人民国法定计量单位。（除非磋商文件中另有规定）</w:t>
      </w:r>
    </w:p>
    <w:p>
      <w:pPr>
        <w:tabs>
          <w:tab w:val="left" w:pos="360"/>
          <w:tab w:val="left" w:pos="720"/>
        </w:tabs>
        <w:spacing w:before="60" w:line="360" w:lineRule="auto"/>
        <w:ind w:leftChars="-1" w:hanging="2"/>
        <w:rPr>
          <w:rFonts w:ascii="宋体" w:hAnsi="宋体"/>
          <w:color w:val="auto"/>
          <w:szCs w:val="21"/>
        </w:rPr>
      </w:pPr>
      <w:r>
        <w:rPr>
          <w:rFonts w:ascii="宋体" w:hAnsi="宋体"/>
          <w:b/>
          <w:color w:val="auto"/>
          <w:sz w:val="24"/>
        </w:rPr>
        <w:t xml:space="preserve">2  </w:t>
      </w:r>
      <w:r>
        <w:rPr>
          <w:rFonts w:hint="eastAsia" w:ascii="宋体" w:hAnsi="宋体"/>
          <w:b/>
          <w:color w:val="auto"/>
          <w:sz w:val="24"/>
        </w:rPr>
        <w:t xml:space="preserve">   报价文件的构成及要求</w:t>
      </w:r>
    </w:p>
    <w:p>
      <w:pPr>
        <w:widowControl w:val="0"/>
        <w:tabs>
          <w:tab w:val="left" w:pos="735"/>
          <w:tab w:val="left" w:pos="840"/>
        </w:tabs>
        <w:spacing w:before="60" w:line="360" w:lineRule="auto"/>
        <w:ind w:left="720" w:hanging="720"/>
        <w:rPr>
          <w:rFonts w:ascii="宋体" w:hAnsi="宋体"/>
          <w:color w:val="auto"/>
          <w:szCs w:val="21"/>
        </w:rPr>
      </w:pPr>
      <w:r>
        <w:rPr>
          <w:rFonts w:hint="eastAsia" w:ascii="宋体" w:hAnsi="宋体"/>
          <w:color w:val="auto"/>
          <w:szCs w:val="21"/>
        </w:rPr>
        <w:t>2．1    报价部分（参见磋商文件第五部分报价文件格式）；</w:t>
      </w:r>
    </w:p>
    <w:p>
      <w:pPr>
        <w:widowControl w:val="0"/>
        <w:tabs>
          <w:tab w:val="left" w:pos="735"/>
          <w:tab w:val="left" w:pos="840"/>
        </w:tabs>
        <w:spacing w:before="60" w:line="360" w:lineRule="auto"/>
        <w:ind w:left="720" w:hanging="720"/>
        <w:rPr>
          <w:rFonts w:ascii="宋体" w:hAnsi="宋体"/>
          <w:color w:val="auto"/>
          <w:szCs w:val="21"/>
        </w:rPr>
      </w:pPr>
      <w:r>
        <w:rPr>
          <w:rFonts w:hint="eastAsia" w:ascii="宋体" w:hAnsi="宋体"/>
          <w:color w:val="auto"/>
          <w:szCs w:val="21"/>
        </w:rPr>
        <w:t>2．2    商务响应文件（参见磋商文件第五部分报价文件格式）；</w:t>
      </w:r>
    </w:p>
    <w:p>
      <w:pPr>
        <w:widowControl w:val="0"/>
        <w:tabs>
          <w:tab w:val="left" w:pos="735"/>
        </w:tabs>
        <w:spacing w:before="60" w:line="360" w:lineRule="auto"/>
        <w:ind w:left="720" w:hanging="720"/>
        <w:rPr>
          <w:rFonts w:ascii="宋体" w:hAnsi="宋体"/>
          <w:color w:val="auto"/>
          <w:szCs w:val="21"/>
        </w:rPr>
      </w:pPr>
      <w:r>
        <w:rPr>
          <w:rFonts w:hint="eastAsia" w:ascii="宋体" w:hAnsi="宋体"/>
          <w:color w:val="auto"/>
          <w:szCs w:val="21"/>
        </w:rPr>
        <w:t>2．3    服务方案响应文件（参见磋商文件第五部分报价文件格式）；</w:t>
      </w:r>
    </w:p>
    <w:p>
      <w:pPr>
        <w:widowControl w:val="0"/>
        <w:tabs>
          <w:tab w:val="left" w:pos="735"/>
          <w:tab w:val="left" w:pos="840"/>
        </w:tabs>
        <w:spacing w:before="60" w:line="360" w:lineRule="auto"/>
        <w:ind w:left="720" w:hanging="720"/>
        <w:rPr>
          <w:rFonts w:ascii="宋体" w:hAnsi="宋体"/>
          <w:color w:val="auto"/>
          <w:szCs w:val="21"/>
        </w:rPr>
      </w:pPr>
      <w:r>
        <w:rPr>
          <w:rFonts w:hint="eastAsia" w:ascii="宋体" w:hAnsi="宋体"/>
          <w:color w:val="auto"/>
          <w:szCs w:val="21"/>
        </w:rPr>
        <w:t>2．4    报价人认为需加以说明的其他内容；</w:t>
      </w:r>
    </w:p>
    <w:p>
      <w:pPr>
        <w:widowControl w:val="0"/>
        <w:tabs>
          <w:tab w:val="left" w:pos="735"/>
          <w:tab w:val="left" w:pos="840"/>
        </w:tabs>
        <w:spacing w:before="60" w:line="360" w:lineRule="auto"/>
        <w:ind w:left="823" w:hanging="823" w:hangingChars="392"/>
        <w:rPr>
          <w:rFonts w:ascii="宋体" w:hAnsi="宋体"/>
          <w:color w:val="auto"/>
          <w:szCs w:val="21"/>
        </w:rPr>
      </w:pPr>
      <w:r>
        <w:rPr>
          <w:rFonts w:hint="eastAsia" w:ascii="宋体" w:hAnsi="宋体"/>
          <w:color w:val="auto"/>
          <w:szCs w:val="21"/>
        </w:rPr>
        <w:t>2．5    报价人报价的内容与磋商文件的技术、商务要求有偏离时，无论这种偏离是否有利于买方，报价人都应按附件的格式如实填写技术规格偏离表和商务条款偏离表。</w:t>
      </w:r>
    </w:p>
    <w:p>
      <w:pPr>
        <w:widowControl w:val="0"/>
        <w:tabs>
          <w:tab w:val="left" w:pos="735"/>
          <w:tab w:val="left" w:pos="840"/>
        </w:tabs>
        <w:spacing w:before="60" w:line="360" w:lineRule="auto"/>
        <w:ind w:left="720" w:hanging="720"/>
        <w:rPr>
          <w:rFonts w:ascii="宋体" w:hAnsi="宋体"/>
          <w:color w:val="auto"/>
          <w:szCs w:val="21"/>
        </w:rPr>
      </w:pPr>
      <w:r>
        <w:rPr>
          <w:rFonts w:hint="eastAsia" w:ascii="宋体" w:hAnsi="宋体"/>
          <w:color w:val="auto"/>
          <w:szCs w:val="21"/>
        </w:rPr>
        <w:t>2．6    报价人应按报价文件格式的要求提交资格文件，并对这些资格文件的真实性负责。</w:t>
      </w:r>
    </w:p>
    <w:p>
      <w:pPr>
        <w:tabs>
          <w:tab w:val="left" w:pos="360"/>
          <w:tab w:val="left" w:pos="720"/>
        </w:tabs>
        <w:spacing w:before="60" w:line="360" w:lineRule="auto"/>
        <w:ind w:leftChars="-1" w:hanging="2"/>
        <w:rPr>
          <w:rFonts w:ascii="宋体" w:hAnsi="宋体"/>
          <w:b/>
          <w:color w:val="auto"/>
          <w:sz w:val="24"/>
        </w:rPr>
      </w:pPr>
      <w:r>
        <w:rPr>
          <w:rFonts w:ascii="宋体" w:hAnsi="宋体"/>
          <w:b/>
          <w:color w:val="auto"/>
          <w:sz w:val="24"/>
        </w:rPr>
        <w:t xml:space="preserve">3 </w:t>
      </w:r>
      <w:r>
        <w:rPr>
          <w:rFonts w:hint="eastAsia" w:ascii="宋体" w:hAnsi="宋体"/>
          <w:b/>
          <w:color w:val="auto"/>
          <w:sz w:val="24"/>
        </w:rPr>
        <w:t xml:space="preserve">   </w:t>
      </w:r>
      <w:r>
        <w:rPr>
          <w:rFonts w:ascii="宋体" w:hAnsi="宋体"/>
          <w:b/>
          <w:color w:val="auto"/>
          <w:sz w:val="24"/>
        </w:rPr>
        <w:t xml:space="preserve"> </w:t>
      </w:r>
      <w:r>
        <w:rPr>
          <w:rFonts w:hint="eastAsia" w:ascii="宋体" w:hAnsi="宋体"/>
          <w:b/>
          <w:color w:val="auto"/>
          <w:sz w:val="24"/>
        </w:rPr>
        <w:t>报价文件的签署、装订和密封</w:t>
      </w:r>
    </w:p>
    <w:p>
      <w:pPr>
        <w:widowControl w:val="0"/>
        <w:numPr>
          <w:ilvl w:val="0"/>
          <w:numId w:val="6"/>
        </w:numPr>
        <w:tabs>
          <w:tab w:val="left" w:pos="735"/>
          <w:tab w:val="clear" w:pos="481"/>
        </w:tabs>
        <w:spacing w:before="60" w:line="360" w:lineRule="auto"/>
        <w:ind w:left="720"/>
        <w:rPr>
          <w:rFonts w:ascii="宋体" w:hAnsi="宋体"/>
          <w:color w:val="auto"/>
          <w:szCs w:val="21"/>
        </w:rPr>
      </w:pPr>
      <w:r>
        <w:rPr>
          <w:rFonts w:hint="eastAsia" w:ascii="宋体" w:hAnsi="宋体"/>
          <w:color w:val="auto"/>
          <w:szCs w:val="21"/>
        </w:rPr>
        <w:t>报价文件</w:t>
      </w:r>
      <w:r>
        <w:rPr>
          <w:rFonts w:hint="eastAsia" w:ascii="宋体" w:hAnsi="宋体"/>
          <w:b/>
          <w:bCs/>
          <w:color w:val="auto"/>
          <w:szCs w:val="21"/>
        </w:rPr>
        <w:t>正本一套、副本叁套</w:t>
      </w:r>
      <w:r>
        <w:rPr>
          <w:rFonts w:hint="eastAsia" w:ascii="宋体" w:hAnsi="宋体"/>
          <w:color w:val="auto"/>
          <w:szCs w:val="21"/>
        </w:rPr>
        <w:t>、内容应一致，</w:t>
      </w:r>
      <w:r>
        <w:rPr>
          <w:rFonts w:hint="eastAsia" w:ascii="宋体" w:hAnsi="宋体"/>
          <w:b/>
          <w:bCs/>
          <w:color w:val="auto"/>
          <w:szCs w:val="21"/>
        </w:rPr>
        <w:t>如果正本与副本不符，以正本为准（正本每一页须加盖公章）</w:t>
      </w:r>
      <w:r>
        <w:rPr>
          <w:rFonts w:hint="eastAsia" w:ascii="宋体" w:hAnsi="宋体"/>
          <w:color w:val="auto"/>
          <w:szCs w:val="21"/>
        </w:rPr>
        <w:t>。报价文件正本应由报价人的法定代表人或经法定代表人正式授权的代表在报价文件上签字，并需将以书面形式出具的“法定代表人授权书”附在报价文件中。任何行间插字、涂改和增删，必须由报价文件盖章才有效。</w:t>
      </w:r>
    </w:p>
    <w:p>
      <w:pPr>
        <w:widowControl w:val="0"/>
        <w:numPr>
          <w:ilvl w:val="0"/>
          <w:numId w:val="6"/>
        </w:numPr>
        <w:tabs>
          <w:tab w:val="left" w:pos="735"/>
          <w:tab w:val="clear" w:pos="481"/>
        </w:tabs>
        <w:spacing w:before="60" w:line="360" w:lineRule="auto"/>
        <w:ind w:left="720"/>
        <w:rPr>
          <w:rFonts w:ascii="宋体" w:hAnsi="宋体"/>
          <w:color w:val="auto"/>
          <w:szCs w:val="21"/>
        </w:rPr>
      </w:pPr>
      <w:r>
        <w:rPr>
          <w:rFonts w:hint="eastAsia" w:hAnsi="宋体"/>
          <w:color w:val="auto"/>
        </w:rPr>
        <w:t>报价人应同时提交与报价文件中报价、技术部分的正本内容相同（图片及印刷文件除外）的电子文件一套</w:t>
      </w:r>
      <w:r>
        <w:rPr>
          <w:rFonts w:hint="eastAsia" w:hAnsi="宋体"/>
          <w:b/>
          <w:bCs/>
          <w:color w:val="auto"/>
        </w:rPr>
        <w:t>（以U盘形式）并附在报价文件正本里</w:t>
      </w:r>
      <w:r>
        <w:rPr>
          <w:rFonts w:hint="eastAsia" w:hAnsi="宋体"/>
          <w:color w:val="auto"/>
        </w:rPr>
        <w:t>，文件格式要求采用《报价资料表》中规定的文件格式制作，如电子文件与书面文件不符时，以书面文件为准。不按以上要求递交的，采购代理机构概不接受。</w:t>
      </w:r>
    </w:p>
    <w:p>
      <w:pPr>
        <w:widowControl w:val="0"/>
        <w:numPr>
          <w:ilvl w:val="0"/>
          <w:numId w:val="6"/>
        </w:numPr>
        <w:tabs>
          <w:tab w:val="left" w:pos="735"/>
          <w:tab w:val="clear" w:pos="481"/>
        </w:tabs>
        <w:spacing w:before="60" w:line="360" w:lineRule="auto"/>
        <w:ind w:left="720"/>
        <w:rPr>
          <w:rFonts w:ascii="宋体" w:hAnsi="宋体"/>
          <w:color w:val="auto"/>
          <w:szCs w:val="21"/>
        </w:rPr>
      </w:pPr>
      <w:r>
        <w:rPr>
          <w:rFonts w:hint="eastAsia" w:hAnsi="宋体"/>
          <w:color w:val="auto"/>
        </w:rPr>
        <w:t>报价文件正本须用A4纸及不褪色墨水书写或打印，由报价人的法定代表人或经其正式授权的代表签字。授权代表须将以书面形式出具的“授权证书”附在报价文件中。</w:t>
      </w:r>
    </w:p>
    <w:p>
      <w:pPr>
        <w:widowControl w:val="0"/>
        <w:numPr>
          <w:ilvl w:val="0"/>
          <w:numId w:val="6"/>
        </w:numPr>
        <w:tabs>
          <w:tab w:val="left" w:pos="735"/>
          <w:tab w:val="clear" w:pos="481"/>
        </w:tabs>
        <w:spacing w:before="60" w:line="360" w:lineRule="auto"/>
        <w:ind w:left="720"/>
        <w:rPr>
          <w:rFonts w:ascii="宋体" w:hAnsi="宋体"/>
          <w:color w:val="auto"/>
          <w:szCs w:val="21"/>
        </w:rPr>
      </w:pPr>
      <w:r>
        <w:rPr>
          <w:rFonts w:hint="eastAsia" w:hAnsi="宋体"/>
          <w:color w:val="auto"/>
        </w:rPr>
        <w:t>报价文件的正本，磋商文件中已明示需盖章签名处，均须由报价人加盖报价人公章，并经报价人法定代表人或其授权代表签名。如果《报价资料表》允许报价人为联合体，联合体在签署报价文件时应在报价人名称后面注明“联合体”字样。</w:t>
      </w:r>
    </w:p>
    <w:p>
      <w:pPr>
        <w:widowControl w:val="0"/>
        <w:numPr>
          <w:ilvl w:val="0"/>
          <w:numId w:val="6"/>
        </w:numPr>
        <w:tabs>
          <w:tab w:val="left" w:pos="735"/>
          <w:tab w:val="clear" w:pos="481"/>
        </w:tabs>
        <w:spacing w:before="60" w:line="360" w:lineRule="auto"/>
        <w:ind w:left="720"/>
        <w:rPr>
          <w:rFonts w:ascii="宋体" w:hAnsi="宋体"/>
          <w:color w:val="auto"/>
          <w:szCs w:val="21"/>
        </w:rPr>
      </w:pPr>
      <w:r>
        <w:rPr>
          <w:rFonts w:hint="eastAsia" w:hAnsi="宋体"/>
          <w:color w:val="auto"/>
        </w:rPr>
        <w:t>报价文件副本可采用报价文件的正本复印而成，A4纸装订成册。</w:t>
      </w:r>
    </w:p>
    <w:p>
      <w:pPr>
        <w:widowControl w:val="0"/>
        <w:numPr>
          <w:ilvl w:val="0"/>
          <w:numId w:val="6"/>
        </w:numPr>
        <w:tabs>
          <w:tab w:val="left" w:pos="735"/>
          <w:tab w:val="clear" w:pos="481"/>
        </w:tabs>
        <w:spacing w:before="60" w:line="360" w:lineRule="auto"/>
        <w:ind w:left="720"/>
        <w:rPr>
          <w:rFonts w:ascii="宋体" w:hAnsi="宋体"/>
          <w:color w:val="auto"/>
          <w:szCs w:val="21"/>
        </w:rPr>
      </w:pPr>
      <w:r>
        <w:rPr>
          <w:rFonts w:hint="eastAsia" w:hAnsi="宋体"/>
          <w:color w:val="auto"/>
        </w:rPr>
        <w:t>没有按照要求递交报价文件及传真和电传的报价文件将被拒绝。</w:t>
      </w:r>
      <w:r>
        <w:rPr>
          <w:rFonts w:hint="eastAsia" w:ascii="宋体" w:hAnsi="宋体"/>
          <w:color w:val="auto"/>
          <w:szCs w:val="21"/>
        </w:rPr>
        <w:t xml:space="preserve"> </w:t>
      </w:r>
    </w:p>
    <w:p>
      <w:pPr>
        <w:widowControl w:val="0"/>
        <w:numPr>
          <w:ilvl w:val="0"/>
          <w:numId w:val="6"/>
        </w:numPr>
        <w:tabs>
          <w:tab w:val="left" w:pos="735"/>
          <w:tab w:val="clear" w:pos="481"/>
        </w:tabs>
        <w:spacing w:before="60" w:line="360" w:lineRule="auto"/>
        <w:ind w:left="720"/>
        <w:rPr>
          <w:rFonts w:ascii="宋体" w:hAnsi="宋体"/>
          <w:color w:val="auto"/>
          <w:szCs w:val="21"/>
        </w:rPr>
      </w:pPr>
      <w:r>
        <w:rPr>
          <w:rFonts w:hint="eastAsia" w:hAnsi="宋体"/>
          <w:color w:val="auto"/>
        </w:rPr>
        <w:t>报价人应将报价文件正本和所有的副本分开密封装在封套中，封套须加盖公章且在封套上标明“正本”“副本”字样。</w:t>
      </w:r>
    </w:p>
    <w:p>
      <w:pPr>
        <w:widowControl w:val="0"/>
        <w:numPr>
          <w:ilvl w:val="0"/>
          <w:numId w:val="6"/>
        </w:numPr>
        <w:tabs>
          <w:tab w:val="left" w:pos="735"/>
          <w:tab w:val="clear" w:pos="481"/>
        </w:tabs>
        <w:spacing w:before="60" w:line="360" w:lineRule="auto"/>
        <w:ind w:left="720"/>
        <w:rPr>
          <w:rFonts w:ascii="宋体" w:hAnsi="宋体"/>
          <w:color w:val="auto"/>
          <w:szCs w:val="21"/>
        </w:rPr>
      </w:pPr>
      <w:r>
        <w:rPr>
          <w:rFonts w:hint="eastAsia" w:hAnsi="宋体"/>
          <w:color w:val="auto"/>
        </w:rPr>
        <w:t>封套均应按以下要求标记：</w:t>
      </w:r>
    </w:p>
    <w:tbl>
      <w:tblPr>
        <w:tblStyle w:val="30"/>
        <w:tblW w:w="8759" w:type="dxa"/>
        <w:tblInd w:w="5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20" w:hRule="atLeast"/>
        </w:trPr>
        <w:tc>
          <w:tcPr>
            <w:tcW w:w="8759" w:type="dxa"/>
          </w:tcPr>
          <w:p>
            <w:pPr>
              <w:spacing w:line="360" w:lineRule="auto"/>
              <w:ind w:left="180"/>
              <w:rPr>
                <w:rFonts w:ascii="宋体" w:hAnsi="宋体"/>
                <w:color w:val="auto"/>
                <w:szCs w:val="21"/>
              </w:rPr>
            </w:pPr>
          </w:p>
          <w:p>
            <w:pPr>
              <w:spacing w:line="360" w:lineRule="auto"/>
              <w:rPr>
                <w:rFonts w:ascii="宋体" w:hAnsi="宋体"/>
                <w:color w:val="auto"/>
                <w:szCs w:val="21"/>
              </w:rPr>
            </w:pPr>
            <w:r>
              <w:rPr>
                <w:rFonts w:hint="eastAsia" w:ascii="宋体" w:hAnsi="宋体"/>
                <w:color w:val="auto"/>
                <w:szCs w:val="21"/>
              </w:rPr>
              <w:t>（正本/副本/报价信封）</w:t>
            </w:r>
          </w:p>
          <w:p>
            <w:pPr>
              <w:spacing w:line="360" w:lineRule="auto"/>
              <w:ind w:left="180"/>
              <w:rPr>
                <w:rFonts w:ascii="宋体" w:hAnsi="宋体"/>
                <w:color w:val="auto"/>
                <w:szCs w:val="21"/>
              </w:rPr>
            </w:pPr>
            <w:r>
              <w:rPr>
                <w:rFonts w:hint="eastAsia" w:ascii="宋体" w:hAnsi="宋体"/>
                <w:color w:val="auto"/>
                <w:szCs w:val="21"/>
              </w:rPr>
              <w:t>于“      年     月     日     时    分”之前不准启封（即磋商截止时间）</w:t>
            </w:r>
          </w:p>
          <w:p>
            <w:pPr>
              <w:spacing w:line="360" w:lineRule="auto"/>
              <w:ind w:left="180"/>
              <w:rPr>
                <w:rFonts w:ascii="宋体" w:hAnsi="宋体"/>
                <w:color w:val="auto"/>
                <w:szCs w:val="21"/>
              </w:rPr>
            </w:pPr>
            <w:r>
              <w:rPr>
                <w:rFonts w:hint="eastAsia" w:ascii="宋体" w:hAnsi="宋体"/>
                <w:color w:val="auto"/>
                <w:szCs w:val="21"/>
              </w:rPr>
              <w:t>项目名称：</w:t>
            </w:r>
            <w:r>
              <w:rPr>
                <w:rFonts w:hint="eastAsia" w:ascii="宋体" w:hAnsi="宋体"/>
                <w:color w:val="auto"/>
                <w:szCs w:val="21"/>
                <w:lang w:eastAsia="zh-CN"/>
              </w:rPr>
              <w:t>郁南县财政局工程造价咨询定点服务项目</w:t>
            </w:r>
            <w:r>
              <w:rPr>
                <w:rFonts w:hint="eastAsia" w:ascii="宋体" w:hAnsi="宋体"/>
                <w:color w:val="auto"/>
                <w:szCs w:val="21"/>
              </w:rPr>
              <w:t xml:space="preserve">   </w:t>
            </w:r>
          </w:p>
          <w:p>
            <w:pPr>
              <w:spacing w:line="360" w:lineRule="auto"/>
              <w:ind w:left="180"/>
              <w:rPr>
                <w:rFonts w:ascii="宋体" w:hAnsi="宋体"/>
                <w:color w:val="auto"/>
                <w:szCs w:val="21"/>
              </w:rPr>
            </w:pPr>
            <w:r>
              <w:rPr>
                <w:rFonts w:hint="eastAsia" w:ascii="宋体" w:hAnsi="宋体"/>
                <w:color w:val="auto"/>
                <w:szCs w:val="21"/>
              </w:rPr>
              <w:t xml:space="preserve">收件人名称：广东晓君招标采购代理有限公司          </w:t>
            </w:r>
          </w:p>
          <w:p>
            <w:pPr>
              <w:spacing w:line="360" w:lineRule="auto"/>
              <w:ind w:left="180"/>
              <w:rPr>
                <w:rFonts w:ascii="宋体" w:hAnsi="宋体"/>
                <w:color w:val="auto"/>
                <w:szCs w:val="21"/>
              </w:rPr>
            </w:pPr>
            <w:r>
              <w:rPr>
                <w:rFonts w:hint="eastAsia" w:ascii="宋体" w:hAnsi="宋体"/>
                <w:color w:val="auto"/>
                <w:szCs w:val="21"/>
              </w:rPr>
              <w:t>编号：</w:t>
            </w:r>
            <w:r>
              <w:rPr>
                <w:rFonts w:hint="eastAsia" w:ascii="宋体" w:hAnsi="宋体"/>
                <w:color w:val="auto"/>
                <w:szCs w:val="21"/>
                <w:lang w:eastAsia="zh-CN"/>
              </w:rPr>
              <w:t>GDXJ18FCS1005</w:t>
            </w:r>
          </w:p>
          <w:p>
            <w:pPr>
              <w:spacing w:line="360" w:lineRule="auto"/>
              <w:ind w:left="180"/>
              <w:rPr>
                <w:rFonts w:ascii="宋体" w:hAnsi="宋体"/>
                <w:color w:val="auto"/>
                <w:szCs w:val="21"/>
              </w:rPr>
            </w:pPr>
            <w:r>
              <w:rPr>
                <w:rFonts w:hint="eastAsia" w:ascii="宋体" w:hAnsi="宋体"/>
                <w:color w:val="auto"/>
                <w:szCs w:val="21"/>
              </w:rPr>
              <w:t xml:space="preserve">报价人名称：                                  </w:t>
            </w:r>
          </w:p>
          <w:p>
            <w:pPr>
              <w:spacing w:line="360" w:lineRule="auto"/>
              <w:ind w:left="180"/>
              <w:rPr>
                <w:rFonts w:ascii="宋体" w:hAnsi="宋体"/>
                <w:color w:val="auto"/>
                <w:szCs w:val="21"/>
              </w:rPr>
            </w:pPr>
            <w:r>
              <w:rPr>
                <w:rFonts w:hint="eastAsia" w:ascii="宋体" w:hAnsi="宋体"/>
                <w:color w:val="auto"/>
                <w:szCs w:val="21"/>
              </w:rPr>
              <w:t>报价人地址：                                  邮政编码：</w:t>
            </w:r>
          </w:p>
          <w:p>
            <w:pPr>
              <w:pStyle w:val="4"/>
              <w:tabs>
                <w:tab w:val="left" w:pos="102"/>
              </w:tabs>
              <w:ind w:left="-599" w:firstLine="804" w:firstLineChars="383"/>
              <w:jc w:val="left"/>
              <w:rPr>
                <w:rFonts w:hAnsi="宋体"/>
                <w:color w:val="auto"/>
                <w:szCs w:val="21"/>
              </w:rPr>
            </w:pPr>
            <w:r>
              <w:rPr>
                <w:rFonts w:hint="eastAsia" w:hAnsi="宋体"/>
                <w:color w:val="auto"/>
                <w:szCs w:val="21"/>
              </w:rPr>
              <w:t>报价人代表：                                  联系电话：</w:t>
            </w:r>
          </w:p>
        </w:tc>
      </w:tr>
    </w:tbl>
    <w:p>
      <w:pPr>
        <w:widowControl w:val="0"/>
        <w:numPr>
          <w:ilvl w:val="0"/>
          <w:numId w:val="6"/>
        </w:numPr>
        <w:tabs>
          <w:tab w:val="left" w:pos="735"/>
          <w:tab w:val="clear" w:pos="481"/>
        </w:tabs>
        <w:snapToGrid w:val="0"/>
        <w:spacing w:before="60" w:line="360" w:lineRule="auto"/>
        <w:ind w:left="720"/>
        <w:rPr>
          <w:rFonts w:ascii="宋体" w:hAnsi="宋体"/>
          <w:color w:val="auto"/>
          <w:szCs w:val="21"/>
        </w:rPr>
      </w:pPr>
      <w:r>
        <w:rPr>
          <w:rFonts w:hint="eastAsia" w:hAnsi="宋体"/>
          <w:color w:val="auto"/>
        </w:rPr>
        <w:t>封套均应写明报价人名称和地址，以便如果其报价文件被宣布为“迟交”时，能原封退回。</w:t>
      </w:r>
    </w:p>
    <w:p>
      <w:pPr>
        <w:widowControl w:val="0"/>
        <w:numPr>
          <w:ilvl w:val="0"/>
          <w:numId w:val="6"/>
        </w:numPr>
        <w:tabs>
          <w:tab w:val="left" w:pos="735"/>
          <w:tab w:val="clear" w:pos="481"/>
        </w:tabs>
        <w:snapToGrid w:val="0"/>
        <w:spacing w:before="60" w:line="360" w:lineRule="auto"/>
        <w:ind w:left="720"/>
        <w:rPr>
          <w:rFonts w:ascii="宋体" w:hAnsi="宋体"/>
          <w:color w:val="auto"/>
          <w:szCs w:val="21"/>
        </w:rPr>
      </w:pPr>
      <w:r>
        <w:rPr>
          <w:rFonts w:hint="eastAsia" w:hAnsi="宋体"/>
          <w:color w:val="auto"/>
          <w:spacing w:val="-4"/>
          <w:szCs w:val="21"/>
        </w:rPr>
        <w:t>如果封套未按本须知的要求密封和加写标记，采购代理机构概不接受。</w:t>
      </w:r>
    </w:p>
    <w:p>
      <w:pPr>
        <w:widowControl w:val="0"/>
        <w:numPr>
          <w:ilvl w:val="0"/>
          <w:numId w:val="6"/>
        </w:numPr>
        <w:tabs>
          <w:tab w:val="left" w:pos="735"/>
          <w:tab w:val="clear" w:pos="481"/>
        </w:tabs>
        <w:snapToGrid w:val="0"/>
        <w:spacing w:before="60" w:line="360" w:lineRule="auto"/>
        <w:ind w:left="720"/>
        <w:rPr>
          <w:rFonts w:ascii="宋体" w:hAnsi="宋体"/>
          <w:color w:val="auto"/>
          <w:szCs w:val="21"/>
        </w:rPr>
      </w:pPr>
      <w:r>
        <w:rPr>
          <w:rFonts w:hint="eastAsia" w:hAnsi="宋体"/>
          <w:color w:val="auto"/>
        </w:rPr>
        <w:t>报价人提交报价文件时应备有一个“唱标信封”，并将下列内容单独密封入该信封（信封须加盖公章）：</w:t>
      </w:r>
    </w:p>
    <w:p>
      <w:pPr>
        <w:tabs>
          <w:tab w:val="left" w:pos="720"/>
        </w:tabs>
        <w:spacing w:line="360" w:lineRule="auto"/>
        <w:ind w:left="-239" w:leftChars="-114" w:firstLine="945" w:firstLineChars="450"/>
        <w:jc w:val="both"/>
        <w:rPr>
          <w:rFonts w:ascii="宋体" w:hAnsi="宋体"/>
          <w:color w:val="auto"/>
        </w:rPr>
      </w:pPr>
      <w:r>
        <w:rPr>
          <w:rFonts w:hint="eastAsia" w:ascii="宋体" w:hAnsi="宋体"/>
          <w:color w:val="auto"/>
        </w:rPr>
        <w:t>（1）报价保证金交付收据复印件；</w:t>
      </w:r>
    </w:p>
    <w:p>
      <w:pPr>
        <w:spacing w:line="360" w:lineRule="auto"/>
        <w:ind w:left="-239" w:leftChars="-114" w:firstLine="945" w:firstLineChars="450"/>
        <w:jc w:val="both"/>
        <w:rPr>
          <w:rFonts w:ascii="宋体" w:hAnsi="宋体"/>
          <w:color w:val="auto"/>
        </w:rPr>
      </w:pPr>
      <w:r>
        <w:rPr>
          <w:rFonts w:hint="eastAsia" w:ascii="宋体" w:hAnsi="宋体"/>
          <w:color w:val="auto"/>
        </w:rPr>
        <w:t>（</w:t>
      </w:r>
      <w:r>
        <w:rPr>
          <w:rFonts w:hint="eastAsia" w:ascii="宋体" w:hAnsi="宋体"/>
          <w:color w:val="auto"/>
          <w:lang w:val="en-US" w:eastAsia="zh-CN"/>
        </w:rPr>
        <w:t>2</w:t>
      </w:r>
      <w:r>
        <w:rPr>
          <w:rFonts w:hint="eastAsia" w:ascii="宋体" w:hAnsi="宋体"/>
          <w:color w:val="auto"/>
        </w:rPr>
        <w:t>）退保证金说明；（正本）</w:t>
      </w:r>
    </w:p>
    <w:p>
      <w:pPr>
        <w:spacing w:line="360" w:lineRule="auto"/>
        <w:ind w:left="-239" w:leftChars="-114" w:firstLine="945" w:firstLineChars="450"/>
        <w:jc w:val="both"/>
        <w:rPr>
          <w:rFonts w:ascii="宋体" w:hAnsi="宋体"/>
          <w:color w:val="auto"/>
        </w:rPr>
      </w:pPr>
      <w:r>
        <w:rPr>
          <w:rFonts w:hint="eastAsia" w:ascii="宋体" w:hAnsi="宋体"/>
          <w:color w:val="auto"/>
        </w:rPr>
        <w:t>（</w:t>
      </w:r>
      <w:r>
        <w:rPr>
          <w:rFonts w:hint="eastAsia" w:ascii="宋体" w:hAnsi="宋体"/>
          <w:color w:val="auto"/>
          <w:lang w:val="en-US" w:eastAsia="zh-CN"/>
        </w:rPr>
        <w:t>3</w:t>
      </w:r>
      <w:r>
        <w:rPr>
          <w:rFonts w:hint="eastAsia" w:ascii="宋体" w:hAnsi="宋体"/>
          <w:color w:val="auto"/>
        </w:rPr>
        <w:t>）报价函；</w:t>
      </w:r>
    </w:p>
    <w:p>
      <w:pPr>
        <w:spacing w:line="360" w:lineRule="auto"/>
        <w:ind w:left="-239" w:leftChars="-114" w:firstLine="945" w:firstLineChars="450"/>
        <w:jc w:val="both"/>
        <w:rPr>
          <w:rFonts w:ascii="宋体" w:hAnsi="宋体"/>
          <w:color w:val="auto"/>
        </w:rPr>
      </w:pPr>
      <w:r>
        <w:rPr>
          <w:rFonts w:hint="eastAsia" w:ascii="宋体" w:hAnsi="宋体"/>
          <w:color w:val="auto"/>
        </w:rPr>
        <w:t>（</w:t>
      </w:r>
      <w:r>
        <w:rPr>
          <w:rFonts w:hint="eastAsia" w:ascii="宋体" w:hAnsi="宋体"/>
          <w:color w:val="auto"/>
          <w:lang w:val="en-US" w:eastAsia="zh-CN"/>
        </w:rPr>
        <w:t>4</w:t>
      </w:r>
      <w:r>
        <w:rPr>
          <w:rFonts w:hint="eastAsia" w:ascii="宋体" w:hAnsi="宋体"/>
          <w:color w:val="auto"/>
        </w:rPr>
        <w:t>）法定代表人授权书；</w:t>
      </w:r>
    </w:p>
    <w:p>
      <w:pPr>
        <w:spacing w:line="360" w:lineRule="auto"/>
        <w:ind w:left="-239" w:leftChars="-114" w:firstLine="945" w:firstLineChars="450"/>
        <w:jc w:val="both"/>
        <w:rPr>
          <w:rFonts w:ascii="宋体" w:hAnsi="宋体"/>
          <w:color w:val="auto"/>
          <w:szCs w:val="21"/>
        </w:rPr>
      </w:pPr>
      <w:r>
        <w:rPr>
          <w:rFonts w:hint="eastAsia" w:ascii="宋体" w:hAnsi="宋体"/>
          <w:color w:val="auto"/>
        </w:rPr>
        <w:t>（</w:t>
      </w:r>
      <w:r>
        <w:rPr>
          <w:rFonts w:hint="eastAsia" w:ascii="宋体" w:hAnsi="宋体"/>
          <w:color w:val="auto"/>
          <w:lang w:val="en-US" w:eastAsia="zh-CN"/>
        </w:rPr>
        <w:t>5</w:t>
      </w:r>
      <w:r>
        <w:rPr>
          <w:rFonts w:hint="eastAsia" w:ascii="宋体" w:hAnsi="宋体"/>
          <w:color w:val="auto"/>
        </w:rPr>
        <w:t>）同意磋商文件条款声明格式；</w:t>
      </w:r>
    </w:p>
    <w:p>
      <w:pPr>
        <w:tabs>
          <w:tab w:val="left" w:pos="360"/>
          <w:tab w:val="left" w:pos="720"/>
        </w:tabs>
        <w:snapToGrid w:val="0"/>
        <w:spacing w:before="60" w:line="360" w:lineRule="auto"/>
        <w:ind w:leftChars="-1" w:hanging="2"/>
        <w:rPr>
          <w:rFonts w:hAnsi="宋体"/>
          <w:color w:val="auto"/>
          <w:spacing w:val="-4"/>
          <w:szCs w:val="21"/>
        </w:rPr>
      </w:pPr>
      <w:r>
        <w:rPr>
          <w:rFonts w:hint="eastAsia" w:ascii="宋体"/>
          <w:color w:val="auto"/>
        </w:rPr>
        <w:t>3.12  报价文件</w:t>
      </w:r>
      <w:r>
        <w:rPr>
          <w:rFonts w:hint="eastAsia" w:hAnsi="宋体"/>
          <w:color w:val="auto"/>
          <w:spacing w:val="-4"/>
          <w:szCs w:val="21"/>
        </w:rPr>
        <w:t>未按本须知的要求密封、签署和加写标记，</w:t>
      </w:r>
      <w:r>
        <w:rPr>
          <w:rFonts w:hint="eastAsia" w:ascii="宋体" w:hAnsi="宋体"/>
          <w:color w:val="auto"/>
          <w:spacing w:val="-4"/>
          <w:szCs w:val="21"/>
        </w:rPr>
        <w:t>将会导致符合性审查不通过</w:t>
      </w:r>
      <w:r>
        <w:rPr>
          <w:rFonts w:hint="eastAsia" w:hAnsi="宋体"/>
          <w:color w:val="auto"/>
          <w:spacing w:val="-4"/>
          <w:szCs w:val="21"/>
        </w:rPr>
        <w:t>。</w:t>
      </w:r>
    </w:p>
    <w:p>
      <w:pPr>
        <w:tabs>
          <w:tab w:val="left" w:pos="360"/>
          <w:tab w:val="left" w:pos="720"/>
        </w:tabs>
        <w:snapToGrid w:val="0"/>
        <w:spacing w:before="60" w:line="360" w:lineRule="auto"/>
        <w:ind w:leftChars="-1" w:hanging="2"/>
        <w:rPr>
          <w:rFonts w:ascii="宋体" w:hAnsi="宋体"/>
          <w:b/>
          <w:color w:val="auto"/>
          <w:sz w:val="24"/>
        </w:rPr>
      </w:pPr>
      <w:r>
        <w:rPr>
          <w:rFonts w:ascii="宋体" w:hAnsi="宋体"/>
          <w:b/>
          <w:color w:val="auto"/>
          <w:sz w:val="24"/>
        </w:rPr>
        <w:t xml:space="preserve">4  </w:t>
      </w:r>
      <w:r>
        <w:rPr>
          <w:rFonts w:hint="eastAsia" w:ascii="宋体" w:hAnsi="宋体"/>
          <w:b/>
          <w:color w:val="auto"/>
          <w:sz w:val="24"/>
        </w:rPr>
        <w:t xml:space="preserve">   报价有效期</w:t>
      </w:r>
    </w:p>
    <w:p>
      <w:pPr>
        <w:widowControl w:val="0"/>
        <w:numPr>
          <w:ilvl w:val="0"/>
          <w:numId w:val="7"/>
        </w:numPr>
        <w:tabs>
          <w:tab w:val="left" w:pos="720"/>
          <w:tab w:val="clear" w:pos="481"/>
        </w:tabs>
        <w:snapToGrid w:val="0"/>
        <w:spacing w:before="60" w:line="360" w:lineRule="auto"/>
        <w:ind w:left="720"/>
        <w:rPr>
          <w:rFonts w:ascii="宋体" w:hAnsi="宋体"/>
          <w:color w:val="auto"/>
          <w:szCs w:val="21"/>
        </w:rPr>
      </w:pPr>
      <w:r>
        <w:rPr>
          <w:rFonts w:hint="eastAsia" w:ascii="宋体" w:hAnsi="宋体"/>
          <w:color w:val="auto"/>
          <w:szCs w:val="21"/>
        </w:rPr>
        <w:t>从报价递交截止时间起，报价有效期为90天。在特殊情况下，采购代理机构可于报价有效期满之前要求报价人同意延长有效期，要求与答复均应以书面形式表示。报价人可以拒绝上述要求而其报价保证金不会被没收，同意延期的报价人原报价有效期内应享之权利及应负之责任也相应延续。</w:t>
      </w:r>
    </w:p>
    <w:p>
      <w:pPr>
        <w:tabs>
          <w:tab w:val="left" w:pos="360"/>
          <w:tab w:val="left" w:pos="735"/>
        </w:tabs>
        <w:snapToGrid w:val="0"/>
        <w:spacing w:before="60" w:line="360" w:lineRule="auto"/>
        <w:ind w:leftChars="-1" w:hanging="2"/>
        <w:rPr>
          <w:rFonts w:ascii="宋体" w:hAnsi="宋体"/>
          <w:color w:val="auto"/>
          <w:szCs w:val="21"/>
        </w:rPr>
      </w:pPr>
      <w:r>
        <w:rPr>
          <w:rFonts w:ascii="宋体" w:hAnsi="宋体"/>
          <w:b/>
          <w:color w:val="auto"/>
          <w:sz w:val="24"/>
        </w:rPr>
        <w:t xml:space="preserve">5 </w:t>
      </w:r>
      <w:r>
        <w:rPr>
          <w:rFonts w:hint="eastAsia" w:ascii="宋体" w:hAnsi="宋体"/>
          <w:b/>
          <w:color w:val="auto"/>
          <w:sz w:val="24"/>
        </w:rPr>
        <w:t xml:space="preserve">   </w:t>
      </w:r>
      <w:r>
        <w:rPr>
          <w:rFonts w:ascii="宋体" w:hAnsi="宋体"/>
          <w:b/>
          <w:color w:val="auto"/>
          <w:sz w:val="24"/>
        </w:rPr>
        <w:t xml:space="preserve"> </w:t>
      </w:r>
      <w:r>
        <w:rPr>
          <w:rFonts w:hint="eastAsia" w:ascii="宋体" w:hAnsi="宋体"/>
          <w:b/>
          <w:color w:val="auto"/>
          <w:sz w:val="24"/>
        </w:rPr>
        <w:t>报价保证金</w:t>
      </w:r>
    </w:p>
    <w:p>
      <w:pPr>
        <w:tabs>
          <w:tab w:val="left" w:pos="315"/>
          <w:tab w:val="left" w:pos="1785"/>
          <w:tab w:val="left" w:pos="2310"/>
          <w:tab w:val="left" w:pos="8640"/>
        </w:tabs>
        <w:snapToGrid w:val="0"/>
        <w:spacing w:before="60" w:line="360" w:lineRule="auto"/>
        <w:ind w:left="735" w:hanging="735" w:hangingChars="350"/>
        <w:jc w:val="both"/>
        <w:rPr>
          <w:rFonts w:ascii="宋体" w:hAnsi="宋体"/>
          <w:color w:val="auto"/>
          <w:szCs w:val="21"/>
        </w:rPr>
      </w:pPr>
      <w:r>
        <w:rPr>
          <w:rFonts w:hint="eastAsia" w:ascii="宋体" w:hAnsi="宋体"/>
          <w:color w:val="auto"/>
          <w:szCs w:val="21"/>
        </w:rPr>
        <w:t>5.1    本项目的报价</w:t>
      </w:r>
      <w:r>
        <w:rPr>
          <w:rFonts w:hint="eastAsia" w:ascii="宋体" w:hAnsi="宋体"/>
          <w:b/>
          <w:bCs/>
          <w:color w:val="auto"/>
          <w:szCs w:val="21"/>
        </w:rPr>
        <w:t>保证金金额</w:t>
      </w:r>
      <w:r>
        <w:rPr>
          <w:rFonts w:hint="eastAsia" w:ascii="宋体" w:hAnsi="宋体"/>
          <w:b/>
          <w:bCs/>
          <w:color w:val="auto"/>
          <w:szCs w:val="21"/>
          <w:lang w:val="en-US" w:eastAsia="zh-CN"/>
        </w:rPr>
        <w:t>为</w:t>
      </w:r>
      <w:r>
        <w:rPr>
          <w:rFonts w:hint="eastAsia" w:ascii="宋体" w:hAnsi="宋体"/>
          <w:b/>
          <w:bCs/>
          <w:color w:val="auto"/>
          <w:szCs w:val="21"/>
        </w:rPr>
        <w:t>人</w:t>
      </w:r>
      <w:r>
        <w:rPr>
          <w:rFonts w:hint="eastAsia" w:ascii="宋体" w:hAnsi="宋体"/>
          <w:b/>
          <w:color w:val="auto"/>
          <w:szCs w:val="21"/>
        </w:rPr>
        <w:t>民币</w:t>
      </w:r>
      <w:r>
        <w:rPr>
          <w:rFonts w:hint="eastAsia" w:ascii="宋体" w:hAnsi="宋体"/>
          <w:b/>
          <w:color w:val="auto"/>
          <w:szCs w:val="21"/>
          <w:lang w:val="en-US" w:eastAsia="zh-CN"/>
        </w:rPr>
        <w:t>贰万</w:t>
      </w:r>
      <w:r>
        <w:rPr>
          <w:rFonts w:hint="eastAsia" w:hAnsi="宋体"/>
          <w:b/>
          <w:bCs/>
          <w:color w:val="auto"/>
        </w:rPr>
        <w:t>元整（</w:t>
      </w:r>
      <w:r>
        <w:rPr>
          <w:rFonts w:ascii="Arial" w:hAnsi="Arial" w:cs="Arial"/>
          <w:b/>
          <w:bCs/>
          <w:color w:val="auto"/>
        </w:rPr>
        <w:t>¥</w:t>
      </w:r>
      <w:r>
        <w:rPr>
          <w:rFonts w:hint="eastAsia" w:ascii="Arial" w:hAnsi="Arial" w:cs="Arial"/>
          <w:b/>
          <w:bCs/>
          <w:color w:val="auto"/>
          <w:lang w:val="en-US" w:eastAsia="zh-CN"/>
        </w:rPr>
        <w:t>20,000</w:t>
      </w:r>
      <w:r>
        <w:rPr>
          <w:rFonts w:hint="eastAsia" w:hAnsi="宋体"/>
          <w:b/>
          <w:bCs/>
          <w:color w:val="auto"/>
        </w:rPr>
        <w:t>.00元</w:t>
      </w:r>
      <w:r>
        <w:rPr>
          <w:rFonts w:hAnsi="宋体"/>
          <w:b/>
          <w:bCs/>
          <w:color w:val="auto"/>
        </w:rPr>
        <w:t>）</w:t>
      </w:r>
      <w:r>
        <w:rPr>
          <w:rFonts w:hint="eastAsia" w:hAnsi="宋体"/>
          <w:b/>
          <w:bCs/>
          <w:color w:val="auto"/>
          <w:lang w:val="en-US" w:eastAsia="zh-CN"/>
        </w:rPr>
        <w:t>。</w:t>
      </w:r>
      <w:r>
        <w:rPr>
          <w:rFonts w:hint="eastAsia" w:ascii="宋体" w:hAnsi="宋体"/>
          <w:color w:val="auto"/>
          <w:szCs w:val="21"/>
        </w:rPr>
        <w:t>报价保证金是报价文件的组成部分。</w:t>
      </w:r>
    </w:p>
    <w:p>
      <w:pPr>
        <w:tabs>
          <w:tab w:val="left" w:pos="720"/>
        </w:tabs>
        <w:adjustRightInd w:val="0"/>
        <w:snapToGrid w:val="0"/>
        <w:spacing w:before="60" w:line="360" w:lineRule="auto"/>
        <w:ind w:left="718" w:right="31" w:rightChars="15" w:hanging="718" w:hangingChars="342"/>
        <w:rPr>
          <w:rFonts w:ascii="宋体" w:hAnsi="宋体"/>
          <w:color w:val="auto"/>
          <w:szCs w:val="21"/>
        </w:rPr>
      </w:pPr>
      <w:r>
        <w:rPr>
          <w:rFonts w:hint="eastAsia" w:ascii="宋体" w:hAnsi="宋体"/>
          <w:color w:val="auto"/>
          <w:szCs w:val="21"/>
        </w:rPr>
        <w:t>5.2</w:t>
      </w:r>
      <w:r>
        <w:rPr>
          <w:rFonts w:hint="eastAsia" w:ascii="宋体" w:hAnsi="宋体"/>
          <w:color w:val="auto"/>
          <w:szCs w:val="21"/>
        </w:rPr>
        <w:tab/>
      </w:r>
      <w:r>
        <w:rPr>
          <w:rFonts w:hint="eastAsia" w:ascii="宋体" w:hAnsi="宋体"/>
          <w:color w:val="auto"/>
          <w:szCs w:val="21"/>
        </w:rPr>
        <w:t>报价保证金是为了保护采购代理机构和采购人免遭因报价人的行为所造成的损失，采购代理机构和采购人在因报价人的行为而受到损害时，可以根据本须知的规定没收报价人的报价保证金。</w:t>
      </w:r>
    </w:p>
    <w:p>
      <w:pPr>
        <w:tabs>
          <w:tab w:val="left" w:pos="720"/>
        </w:tabs>
        <w:snapToGrid w:val="0"/>
        <w:spacing w:before="60" w:line="360" w:lineRule="auto"/>
        <w:rPr>
          <w:rFonts w:ascii="宋体" w:hAnsi="宋体" w:cs="Tahoma"/>
          <w:color w:val="auto"/>
          <w:szCs w:val="21"/>
        </w:rPr>
      </w:pPr>
      <w:r>
        <w:rPr>
          <w:rFonts w:hint="eastAsia" w:ascii="宋体" w:hAnsi="宋体"/>
          <w:color w:val="auto"/>
          <w:szCs w:val="21"/>
        </w:rPr>
        <w:t>5.3</w:t>
      </w:r>
      <w:r>
        <w:rPr>
          <w:rFonts w:hint="eastAsia" w:ascii="宋体" w:hAnsi="宋体"/>
          <w:color w:val="auto"/>
          <w:szCs w:val="21"/>
        </w:rPr>
        <w:tab/>
      </w:r>
      <w:r>
        <w:rPr>
          <w:rFonts w:hint="eastAsia" w:ascii="宋体" w:hAnsi="宋体"/>
          <w:b/>
          <w:color w:val="auto"/>
          <w:szCs w:val="21"/>
        </w:rPr>
        <w:t>报价保证金可以采用电汇、银行转帐形式提交：</w:t>
      </w:r>
    </w:p>
    <w:p>
      <w:pPr>
        <w:spacing w:line="480" w:lineRule="exact"/>
        <w:ind w:left="900" w:leftChars="170" w:hanging="543"/>
        <w:rPr>
          <w:rFonts w:ascii="宋体" w:hAnsi="宋体"/>
          <w:color w:val="auto"/>
          <w:szCs w:val="21"/>
        </w:rPr>
      </w:pPr>
      <w:r>
        <w:rPr>
          <w:rFonts w:hint="eastAsia" w:ascii="宋体" w:hAnsi="宋体"/>
          <w:b/>
          <w:color w:val="auto"/>
          <w:szCs w:val="21"/>
        </w:rPr>
        <w:t>（1）</w:t>
      </w:r>
      <w:r>
        <w:rPr>
          <w:rFonts w:hint="eastAsia" w:ascii="宋体" w:hAnsi="宋体"/>
          <w:b/>
          <w:color w:val="auto"/>
        </w:rPr>
        <w:t>通过电汇、银行转账形式递交保证金，由报价人对公账户直接存入如下账户（交款时报价人向银行提供项目编号，由银行开具收款单盖章交给客户留底，作为保证金收取依据。）</w:t>
      </w:r>
    </w:p>
    <w:p>
      <w:pPr>
        <w:keepNext w:val="0"/>
        <w:keepLines w:val="0"/>
        <w:pageBreakBefore w:val="0"/>
        <w:widowControl/>
        <w:kinsoku/>
        <w:wordWrap/>
        <w:overflowPunct/>
        <w:topLinePunct w:val="0"/>
        <w:autoSpaceDE/>
        <w:autoSpaceDN/>
        <w:bidi w:val="0"/>
        <w:adjustRightInd/>
        <w:snapToGrid/>
        <w:spacing w:line="480" w:lineRule="exact"/>
        <w:ind w:left="538" w:leftChars="256" w:right="0" w:rightChars="0" w:firstLine="297" w:firstLineChars="141"/>
        <w:jc w:val="left"/>
        <w:textAlignment w:val="auto"/>
        <w:outlineLvl w:val="9"/>
        <w:rPr>
          <w:rFonts w:ascii="宋体" w:hAnsi="宋体"/>
          <w:b/>
          <w:color w:val="auto"/>
        </w:rPr>
      </w:pPr>
      <w:r>
        <w:rPr>
          <w:rFonts w:hint="eastAsia" w:ascii="宋体" w:hAnsi="宋体"/>
          <w:b/>
          <w:color w:val="auto"/>
        </w:rPr>
        <w:t>收款人：广东晓君招标采购代理有限公司</w:t>
      </w:r>
    </w:p>
    <w:p>
      <w:pPr>
        <w:keepNext w:val="0"/>
        <w:keepLines w:val="0"/>
        <w:pageBreakBefore w:val="0"/>
        <w:widowControl/>
        <w:kinsoku/>
        <w:wordWrap/>
        <w:overflowPunct/>
        <w:topLinePunct w:val="0"/>
        <w:autoSpaceDE/>
        <w:autoSpaceDN/>
        <w:bidi w:val="0"/>
        <w:adjustRightInd/>
        <w:snapToGrid/>
        <w:spacing w:line="480" w:lineRule="exact"/>
        <w:ind w:left="538" w:leftChars="256" w:right="0" w:rightChars="0" w:firstLine="297" w:firstLineChars="141"/>
        <w:jc w:val="left"/>
        <w:textAlignment w:val="auto"/>
        <w:outlineLvl w:val="9"/>
        <w:rPr>
          <w:rFonts w:hint="eastAsia" w:ascii="宋体" w:hAnsi="宋体" w:cs="宋体"/>
          <w:b/>
          <w:color w:val="auto"/>
          <w:szCs w:val="21"/>
        </w:rPr>
      </w:pPr>
      <w:r>
        <w:rPr>
          <w:rFonts w:hint="eastAsia" w:ascii="宋体" w:hAnsi="宋体" w:cs="宋体"/>
          <w:b/>
          <w:color w:val="auto"/>
          <w:szCs w:val="21"/>
        </w:rPr>
        <w:t>账   号：</w:t>
      </w:r>
      <w:r>
        <w:rPr>
          <w:rFonts w:hint="eastAsia" w:ascii="宋体" w:hAnsi="宋体"/>
          <w:b/>
          <w:color w:val="auto"/>
          <w:lang w:val="en-US" w:eastAsia="zh-CN"/>
        </w:rPr>
        <w:t>80020000009599651</w:t>
      </w:r>
      <w:r>
        <w:rPr>
          <w:rFonts w:hint="eastAsia" w:ascii="宋体" w:hAnsi="宋体" w:cs="宋体"/>
          <w:b/>
          <w:color w:val="auto"/>
          <w:szCs w:val="21"/>
        </w:rPr>
        <w:t xml:space="preserve"> </w:t>
      </w:r>
    </w:p>
    <w:p>
      <w:pPr>
        <w:keepNext w:val="0"/>
        <w:keepLines w:val="0"/>
        <w:pageBreakBefore w:val="0"/>
        <w:widowControl/>
        <w:kinsoku/>
        <w:wordWrap/>
        <w:overflowPunct/>
        <w:topLinePunct w:val="0"/>
        <w:autoSpaceDE/>
        <w:autoSpaceDN/>
        <w:bidi w:val="0"/>
        <w:adjustRightInd/>
        <w:snapToGrid/>
        <w:spacing w:line="480" w:lineRule="exact"/>
        <w:ind w:left="538" w:leftChars="256" w:right="0" w:rightChars="0" w:firstLine="297" w:firstLineChars="141"/>
        <w:jc w:val="left"/>
        <w:textAlignment w:val="auto"/>
        <w:outlineLvl w:val="9"/>
        <w:rPr>
          <w:rFonts w:ascii="宋体" w:hAnsi="宋体"/>
          <w:b/>
          <w:color w:val="auto"/>
        </w:rPr>
      </w:pPr>
      <w:r>
        <w:rPr>
          <w:rFonts w:hint="eastAsia" w:ascii="宋体" w:hAnsi="宋体" w:cs="宋体"/>
          <w:b/>
          <w:color w:val="auto"/>
          <w:szCs w:val="21"/>
        </w:rPr>
        <w:t>开户行 ：</w:t>
      </w:r>
      <w:r>
        <w:rPr>
          <w:rFonts w:hint="eastAsia" w:ascii="宋体" w:hAnsi="宋体"/>
          <w:b/>
          <w:color w:val="auto"/>
          <w:lang w:val="en-US" w:eastAsia="zh-CN"/>
        </w:rPr>
        <w:t>云浮市云城区农村信用合作联社</w:t>
      </w:r>
    </w:p>
    <w:p>
      <w:pPr>
        <w:keepNext w:val="0"/>
        <w:keepLines w:val="0"/>
        <w:pageBreakBefore w:val="0"/>
        <w:widowControl/>
        <w:kinsoku/>
        <w:wordWrap/>
        <w:overflowPunct/>
        <w:topLinePunct w:val="0"/>
        <w:autoSpaceDE/>
        <w:autoSpaceDN/>
        <w:bidi w:val="0"/>
        <w:adjustRightInd/>
        <w:snapToGrid/>
        <w:spacing w:line="480" w:lineRule="exact"/>
        <w:ind w:left="538" w:leftChars="256" w:right="0" w:rightChars="0" w:firstLine="297" w:firstLineChars="141"/>
        <w:jc w:val="left"/>
        <w:textAlignment w:val="auto"/>
        <w:outlineLvl w:val="9"/>
        <w:rPr>
          <w:rFonts w:ascii="宋体" w:hAnsi="宋体"/>
          <w:b/>
          <w:color w:val="auto"/>
        </w:rPr>
      </w:pPr>
      <w:r>
        <w:rPr>
          <w:rFonts w:hint="eastAsia" w:ascii="宋体" w:hAnsi="宋体"/>
          <w:b/>
          <w:color w:val="auto"/>
        </w:rPr>
        <w:t>财务联系人：黄小姐</w:t>
      </w:r>
    </w:p>
    <w:p>
      <w:pPr>
        <w:keepNext w:val="0"/>
        <w:keepLines w:val="0"/>
        <w:pageBreakBefore w:val="0"/>
        <w:widowControl/>
        <w:kinsoku/>
        <w:wordWrap/>
        <w:overflowPunct/>
        <w:topLinePunct w:val="0"/>
        <w:autoSpaceDE/>
        <w:autoSpaceDN/>
        <w:bidi w:val="0"/>
        <w:adjustRightInd/>
        <w:snapToGrid/>
        <w:spacing w:line="480" w:lineRule="exact"/>
        <w:ind w:left="538" w:leftChars="256" w:right="0" w:rightChars="0" w:firstLine="297" w:firstLineChars="141"/>
        <w:jc w:val="left"/>
        <w:textAlignment w:val="auto"/>
        <w:outlineLvl w:val="9"/>
        <w:rPr>
          <w:rFonts w:ascii="宋体" w:hAnsi="宋体"/>
          <w:b/>
          <w:color w:val="auto"/>
        </w:rPr>
      </w:pPr>
      <w:r>
        <w:rPr>
          <w:rFonts w:hint="eastAsia" w:ascii="宋体" w:hAnsi="宋体"/>
          <w:b/>
          <w:color w:val="auto"/>
        </w:rPr>
        <w:t>财务联系电话：0766-8399668</w:t>
      </w:r>
    </w:p>
    <w:p>
      <w:pPr>
        <w:snapToGrid w:val="0"/>
        <w:spacing w:line="480" w:lineRule="exact"/>
        <w:ind w:firstLine="738" w:firstLineChars="350"/>
        <w:rPr>
          <w:rFonts w:ascii="宋体" w:hAnsi="宋体"/>
          <w:b/>
          <w:color w:val="auto"/>
          <w:szCs w:val="21"/>
          <w:u w:val="single"/>
        </w:rPr>
      </w:pPr>
      <w:r>
        <w:rPr>
          <w:rFonts w:hint="eastAsia" w:ascii="宋体" w:hAnsi="宋体"/>
          <w:b/>
          <w:color w:val="auto"/>
          <w:szCs w:val="21"/>
          <w:u w:val="single"/>
        </w:rPr>
        <w:t>[递交报价保证金请注明：采购编号</w:t>
      </w:r>
      <w:r>
        <w:rPr>
          <w:rFonts w:hint="eastAsia" w:ascii="宋体" w:hAnsi="宋体"/>
          <w:b/>
          <w:color w:val="auto"/>
          <w:szCs w:val="21"/>
          <w:u w:val="single"/>
          <w:lang w:eastAsia="zh-CN"/>
        </w:rPr>
        <w:t>GDXJ18FCS1005</w:t>
      </w:r>
      <w:r>
        <w:rPr>
          <w:rFonts w:hint="eastAsia" w:ascii="宋体" w:hAnsi="宋体"/>
          <w:b/>
          <w:color w:val="auto"/>
          <w:szCs w:val="21"/>
          <w:u w:val="single"/>
        </w:rPr>
        <w:t>]</w:t>
      </w:r>
    </w:p>
    <w:p>
      <w:pPr>
        <w:spacing w:line="480" w:lineRule="exact"/>
        <w:ind w:left="899" w:leftChars="172" w:hanging="538" w:hangingChars="255"/>
        <w:rPr>
          <w:rFonts w:ascii="宋体" w:hAnsi="宋体" w:cs="Tahoma"/>
          <w:b/>
          <w:iCs/>
          <w:color w:val="auto"/>
        </w:rPr>
      </w:pPr>
      <w:r>
        <w:rPr>
          <w:rFonts w:hint="eastAsia" w:ascii="宋体" w:hAnsi="宋体" w:cs="Tahoma"/>
          <w:b/>
          <w:iCs/>
          <w:color w:val="auto"/>
        </w:rPr>
        <w:t>（2）</w:t>
      </w:r>
      <w:r>
        <w:rPr>
          <w:rFonts w:ascii="宋体" w:hAnsi="宋体" w:cs="Tahoma"/>
          <w:b/>
          <w:iCs/>
          <w:color w:val="auto"/>
        </w:rPr>
        <w:t>保证金的提交时间要求：</w:t>
      </w:r>
      <w:r>
        <w:rPr>
          <w:rFonts w:hint="eastAsia" w:ascii="宋体" w:hAnsi="宋体" w:cs="Tahoma"/>
          <w:b/>
          <w:iCs/>
          <w:color w:val="auto"/>
        </w:rPr>
        <w:t>报价截止时间</w:t>
      </w:r>
      <w:r>
        <w:rPr>
          <w:rFonts w:ascii="宋体" w:hAnsi="宋体" w:cs="Tahoma"/>
          <w:b/>
          <w:iCs/>
          <w:color w:val="auto"/>
        </w:rPr>
        <w:t>前</w:t>
      </w:r>
      <w:r>
        <w:rPr>
          <w:rFonts w:hint="eastAsia" w:ascii="宋体" w:hAnsi="宋体" w:cs="Tahoma"/>
          <w:b/>
          <w:iCs/>
          <w:color w:val="auto"/>
        </w:rPr>
        <w:t>1天</w:t>
      </w:r>
      <w:r>
        <w:rPr>
          <w:rFonts w:ascii="宋体" w:hAnsi="宋体" w:cs="Tahoma"/>
          <w:b/>
          <w:iCs/>
          <w:color w:val="auto"/>
        </w:rPr>
        <w:t>到达采购代理机构指定账户</w:t>
      </w:r>
      <w:r>
        <w:rPr>
          <w:rFonts w:hint="eastAsia" w:ascii="宋体" w:hAnsi="宋体" w:cs="Tahoma"/>
          <w:b/>
          <w:iCs/>
          <w:color w:val="auto"/>
        </w:rPr>
        <w:t>，开标现场不接受任何形式的报价保证金。</w:t>
      </w:r>
    </w:p>
    <w:p>
      <w:pPr>
        <w:spacing w:line="480" w:lineRule="exact"/>
        <w:ind w:left="899" w:leftChars="172" w:hanging="538" w:hangingChars="255"/>
        <w:rPr>
          <w:rFonts w:ascii="宋体" w:hAnsi="宋体"/>
          <w:b/>
          <w:color w:val="auto"/>
          <w:szCs w:val="21"/>
          <w:u w:val="single"/>
        </w:rPr>
      </w:pPr>
      <w:r>
        <w:rPr>
          <w:rFonts w:hint="eastAsia" w:ascii="宋体" w:hAnsi="宋体" w:cs="Tahoma"/>
          <w:b/>
          <w:iCs/>
          <w:color w:val="auto"/>
        </w:rPr>
        <w:t>（</w:t>
      </w:r>
      <w:r>
        <w:rPr>
          <w:rFonts w:ascii="宋体" w:hAnsi="宋体" w:cs="Tahoma"/>
          <w:b/>
          <w:iCs/>
          <w:color w:val="auto"/>
        </w:rPr>
        <w:t>3</w:t>
      </w:r>
      <w:r>
        <w:rPr>
          <w:rFonts w:hint="eastAsia" w:ascii="宋体" w:hAnsi="宋体" w:cs="Tahoma"/>
          <w:b/>
          <w:iCs/>
          <w:color w:val="auto"/>
        </w:rPr>
        <w:t>）报价保证金银行划帐后，请把划帐单传真到代理公司</w:t>
      </w:r>
      <w:r>
        <w:rPr>
          <w:rFonts w:ascii="宋体" w:hAnsi="宋体" w:cs="Tahoma"/>
          <w:b/>
          <w:iCs/>
          <w:color w:val="auto"/>
        </w:rPr>
        <w:t>(</w:t>
      </w:r>
      <w:r>
        <w:rPr>
          <w:rFonts w:hint="eastAsia" w:ascii="宋体" w:hAnsi="宋体" w:cs="Tahoma"/>
          <w:b/>
          <w:iCs/>
          <w:color w:val="auto"/>
        </w:rPr>
        <w:t>0766-8399669</w:t>
      </w:r>
      <w:r>
        <w:rPr>
          <w:rFonts w:ascii="宋体" w:hAnsi="宋体" w:cs="Tahoma"/>
          <w:b/>
          <w:iCs/>
          <w:color w:val="auto"/>
        </w:rPr>
        <w:t>)</w:t>
      </w:r>
      <w:r>
        <w:rPr>
          <w:rFonts w:hint="eastAsia" w:ascii="宋体" w:hAnsi="宋体" w:cs="Tahoma"/>
          <w:b/>
          <w:iCs/>
          <w:color w:val="auto"/>
        </w:rPr>
        <w:t>，并注明项目编号，以方便统计之用。</w:t>
      </w:r>
    </w:p>
    <w:p>
      <w:pPr>
        <w:tabs>
          <w:tab w:val="left" w:pos="720"/>
        </w:tabs>
        <w:adjustRightInd w:val="0"/>
        <w:snapToGrid w:val="0"/>
        <w:spacing w:before="60" w:line="360" w:lineRule="auto"/>
        <w:ind w:left="718" w:right="31" w:rightChars="15" w:hanging="718" w:hangingChars="342"/>
        <w:rPr>
          <w:rFonts w:ascii="宋体" w:hAnsi="宋体"/>
          <w:color w:val="auto"/>
          <w:szCs w:val="21"/>
        </w:rPr>
      </w:pPr>
      <w:r>
        <w:rPr>
          <w:rFonts w:hint="eastAsia" w:ascii="宋体" w:hAnsi="宋体"/>
          <w:color w:val="auto"/>
          <w:szCs w:val="21"/>
        </w:rPr>
        <w:t>5.4</w:t>
      </w:r>
      <w:r>
        <w:rPr>
          <w:rFonts w:hint="eastAsia" w:ascii="宋体" w:hAnsi="宋体"/>
          <w:color w:val="auto"/>
          <w:szCs w:val="21"/>
        </w:rPr>
        <w:tab/>
      </w:r>
      <w:r>
        <w:rPr>
          <w:rFonts w:hint="eastAsia" w:ascii="宋体" w:hAnsi="宋体"/>
          <w:color w:val="auto"/>
          <w:szCs w:val="21"/>
        </w:rPr>
        <w:t>未成交报价人的报价保证金，将按本须知规定的报价有效期满后三十（30）天内或在发出《成交结果通知书》之日起5个工作日内原额退还</w:t>
      </w:r>
      <w:r>
        <w:rPr>
          <w:rFonts w:hint="eastAsia" w:ascii="宋体" w:hAnsi="宋体"/>
          <w:color w:val="auto"/>
          <w:szCs w:val="21"/>
          <w:lang w:eastAsia="zh-CN"/>
        </w:rPr>
        <w:t>；如有质疑或投诉，采购代理机构将在质疑和投诉处理完毕后不计利息原额退还。（以先到的时间为准，在此时限内退回的保证金不计利息）。</w:t>
      </w:r>
    </w:p>
    <w:p>
      <w:pPr>
        <w:tabs>
          <w:tab w:val="left" w:pos="720"/>
        </w:tabs>
        <w:adjustRightInd w:val="0"/>
        <w:snapToGrid w:val="0"/>
        <w:spacing w:before="60" w:line="360" w:lineRule="auto"/>
        <w:ind w:left="840" w:right="31" w:rightChars="15" w:hanging="840" w:hangingChars="400"/>
        <w:rPr>
          <w:rFonts w:ascii="宋体" w:hAnsi="宋体"/>
          <w:color w:val="auto"/>
          <w:szCs w:val="21"/>
        </w:rPr>
      </w:pPr>
      <w:r>
        <w:rPr>
          <w:rFonts w:hint="eastAsia" w:ascii="宋体" w:hAnsi="宋体"/>
          <w:color w:val="auto"/>
          <w:szCs w:val="21"/>
        </w:rPr>
        <w:t>5.5</w:t>
      </w:r>
      <w:r>
        <w:rPr>
          <w:rFonts w:hint="eastAsia" w:ascii="宋体" w:hAnsi="宋体"/>
          <w:color w:val="auto"/>
          <w:szCs w:val="21"/>
        </w:rPr>
        <w:tab/>
      </w:r>
      <w:r>
        <w:rPr>
          <w:rFonts w:hint="eastAsia" w:ascii="宋体" w:hAnsi="宋体"/>
          <w:color w:val="auto"/>
          <w:szCs w:val="21"/>
        </w:rPr>
        <w:t>成交报价人的报价保证金的退还必须同时满足以下要求：</w:t>
      </w:r>
    </w:p>
    <w:p>
      <w:pPr>
        <w:tabs>
          <w:tab w:val="left" w:pos="720"/>
        </w:tabs>
        <w:adjustRightInd w:val="0"/>
        <w:snapToGrid w:val="0"/>
        <w:spacing w:before="60" w:line="360" w:lineRule="auto"/>
        <w:ind w:left="840" w:right="31" w:rightChars="15" w:hanging="840" w:hangingChars="400"/>
        <w:rPr>
          <w:rFonts w:ascii="宋体" w:hAnsi="宋体"/>
          <w:color w:val="auto"/>
          <w:szCs w:val="21"/>
        </w:rPr>
      </w:pPr>
      <w:r>
        <w:rPr>
          <w:rFonts w:hint="eastAsia" w:ascii="宋体" w:hAnsi="宋体"/>
          <w:color w:val="auto"/>
          <w:szCs w:val="21"/>
        </w:rPr>
        <w:t>（1）</w:t>
      </w:r>
      <w:r>
        <w:rPr>
          <w:rFonts w:hint="eastAsia" w:ascii="宋体" w:hAnsi="宋体"/>
          <w:color w:val="auto"/>
          <w:szCs w:val="21"/>
        </w:rPr>
        <w:tab/>
      </w:r>
      <w:r>
        <w:rPr>
          <w:rFonts w:hint="eastAsia" w:ascii="宋体" w:hAnsi="宋体"/>
          <w:color w:val="auto"/>
          <w:szCs w:val="21"/>
        </w:rPr>
        <w:t>成交报价人按本须知的规定签订了成交合同；</w:t>
      </w:r>
    </w:p>
    <w:p>
      <w:pPr>
        <w:tabs>
          <w:tab w:val="left" w:pos="720"/>
        </w:tabs>
        <w:adjustRightInd w:val="0"/>
        <w:snapToGrid w:val="0"/>
        <w:spacing w:before="60" w:line="360" w:lineRule="auto"/>
        <w:ind w:left="840" w:right="31" w:rightChars="15" w:hanging="840" w:hangingChars="400"/>
        <w:rPr>
          <w:rFonts w:ascii="宋体" w:hAnsi="宋体"/>
          <w:color w:val="auto"/>
          <w:szCs w:val="21"/>
        </w:rPr>
      </w:pPr>
      <w:r>
        <w:rPr>
          <w:rFonts w:hint="eastAsia" w:ascii="宋体" w:hAnsi="宋体"/>
          <w:color w:val="auto"/>
          <w:szCs w:val="21"/>
        </w:rPr>
        <w:t>（2）</w:t>
      </w:r>
      <w:r>
        <w:rPr>
          <w:rFonts w:hint="eastAsia" w:ascii="宋体" w:hAnsi="宋体"/>
          <w:color w:val="auto"/>
          <w:szCs w:val="21"/>
        </w:rPr>
        <w:tab/>
      </w:r>
      <w:r>
        <w:rPr>
          <w:rFonts w:hint="eastAsia" w:ascii="宋体" w:hAnsi="宋体"/>
          <w:color w:val="auto"/>
          <w:szCs w:val="21"/>
        </w:rPr>
        <w:t>成交报价人按本须知的规定支付了成交服务费。</w:t>
      </w:r>
    </w:p>
    <w:p>
      <w:pPr>
        <w:tabs>
          <w:tab w:val="left" w:pos="720"/>
        </w:tabs>
        <w:adjustRightInd w:val="0"/>
        <w:snapToGrid w:val="0"/>
        <w:spacing w:before="60" w:line="360" w:lineRule="auto"/>
        <w:ind w:left="840" w:right="31" w:rightChars="15" w:hanging="840" w:hangingChars="400"/>
        <w:rPr>
          <w:rFonts w:ascii="宋体" w:hAnsi="宋体"/>
          <w:color w:val="auto"/>
          <w:szCs w:val="21"/>
        </w:rPr>
      </w:pPr>
      <w:r>
        <w:rPr>
          <w:rFonts w:hint="eastAsia" w:ascii="宋体" w:hAnsi="宋体"/>
          <w:color w:val="auto"/>
          <w:szCs w:val="21"/>
        </w:rPr>
        <w:t>5.6</w:t>
      </w:r>
      <w:r>
        <w:rPr>
          <w:rFonts w:hint="eastAsia" w:ascii="宋体" w:hAnsi="宋体"/>
          <w:color w:val="auto"/>
          <w:szCs w:val="21"/>
        </w:rPr>
        <w:tab/>
      </w:r>
      <w:r>
        <w:rPr>
          <w:rFonts w:hint="eastAsia" w:ascii="宋体" w:hAnsi="宋体"/>
          <w:color w:val="auto"/>
          <w:szCs w:val="21"/>
        </w:rPr>
        <w:t>下列任何一种情况发生时，报价保证金将被没收：</w:t>
      </w:r>
    </w:p>
    <w:p>
      <w:pPr>
        <w:tabs>
          <w:tab w:val="left" w:pos="720"/>
        </w:tabs>
        <w:adjustRightInd w:val="0"/>
        <w:snapToGrid w:val="0"/>
        <w:spacing w:before="60" w:line="360" w:lineRule="auto"/>
        <w:ind w:left="840" w:right="31" w:rightChars="15" w:hanging="840" w:hangingChars="400"/>
        <w:rPr>
          <w:rFonts w:ascii="宋体" w:hAnsi="宋体"/>
          <w:color w:val="auto"/>
          <w:szCs w:val="21"/>
        </w:rPr>
      </w:pPr>
      <w:r>
        <w:rPr>
          <w:rFonts w:hint="eastAsia" w:ascii="宋体" w:hAnsi="宋体"/>
          <w:color w:val="auto"/>
          <w:szCs w:val="21"/>
        </w:rPr>
        <w:t>（1）</w:t>
      </w:r>
      <w:r>
        <w:rPr>
          <w:rFonts w:hint="eastAsia" w:ascii="宋体" w:hAnsi="宋体"/>
          <w:color w:val="auto"/>
          <w:szCs w:val="21"/>
        </w:rPr>
        <w:tab/>
      </w:r>
      <w:r>
        <w:rPr>
          <w:rFonts w:hint="eastAsia" w:ascii="宋体" w:hAnsi="宋体"/>
          <w:color w:val="auto"/>
          <w:szCs w:val="21"/>
        </w:rPr>
        <w:t>报价人在磋商文件规定的报价有效期内撤回其报价</w:t>
      </w:r>
      <w:r>
        <w:rPr>
          <w:rFonts w:hint="eastAsia" w:ascii="宋体" w:hAnsi="宋体"/>
          <w:color w:val="auto"/>
          <w:szCs w:val="21"/>
          <w:lang w:val="en-US" w:eastAsia="zh-CN"/>
        </w:rPr>
        <w:t>文件</w:t>
      </w:r>
      <w:r>
        <w:rPr>
          <w:rFonts w:hint="eastAsia" w:ascii="宋体" w:hAnsi="宋体"/>
          <w:color w:val="auto"/>
          <w:szCs w:val="21"/>
        </w:rPr>
        <w:t>；</w:t>
      </w:r>
    </w:p>
    <w:p>
      <w:pPr>
        <w:tabs>
          <w:tab w:val="left" w:pos="720"/>
        </w:tabs>
        <w:adjustRightInd w:val="0"/>
        <w:snapToGrid w:val="0"/>
        <w:spacing w:before="60" w:line="360" w:lineRule="auto"/>
        <w:ind w:left="840" w:right="31" w:rightChars="15" w:hanging="840" w:hangingChars="400"/>
        <w:rPr>
          <w:rFonts w:ascii="宋体" w:hAnsi="宋体"/>
          <w:color w:val="auto"/>
          <w:szCs w:val="21"/>
        </w:rPr>
      </w:pPr>
      <w:r>
        <w:rPr>
          <w:rFonts w:hint="eastAsia" w:ascii="宋体" w:hAnsi="宋体"/>
          <w:color w:val="auto"/>
          <w:szCs w:val="21"/>
        </w:rPr>
        <w:t>（2）</w:t>
      </w:r>
      <w:r>
        <w:rPr>
          <w:rFonts w:hint="eastAsia" w:ascii="宋体" w:hAnsi="宋体"/>
          <w:color w:val="auto"/>
          <w:szCs w:val="21"/>
        </w:rPr>
        <w:tab/>
      </w:r>
      <w:r>
        <w:rPr>
          <w:rFonts w:hint="eastAsia" w:ascii="宋体" w:hAnsi="宋体"/>
          <w:color w:val="auto"/>
          <w:szCs w:val="21"/>
        </w:rPr>
        <w:t>成交报价人在规定期限内未能根据报价须知的规定签订合同。</w:t>
      </w:r>
    </w:p>
    <w:p>
      <w:pPr>
        <w:tabs>
          <w:tab w:val="left" w:pos="360"/>
          <w:tab w:val="left" w:pos="735"/>
        </w:tabs>
        <w:snapToGrid w:val="0"/>
        <w:spacing w:before="60" w:line="360" w:lineRule="auto"/>
        <w:ind w:leftChars="-1" w:hanging="2"/>
        <w:rPr>
          <w:rFonts w:ascii="宋体" w:hAnsi="宋体"/>
          <w:b/>
          <w:color w:val="auto"/>
          <w:sz w:val="24"/>
        </w:rPr>
      </w:pPr>
      <w:r>
        <w:rPr>
          <w:rFonts w:hint="eastAsia" w:ascii="宋体" w:hAnsi="宋体"/>
          <w:b/>
          <w:color w:val="auto"/>
          <w:sz w:val="24"/>
        </w:rPr>
        <w:t>6     报价文件的递交和撤回</w:t>
      </w:r>
    </w:p>
    <w:p>
      <w:pPr>
        <w:widowControl w:val="0"/>
        <w:numPr>
          <w:ilvl w:val="0"/>
          <w:numId w:val="8"/>
        </w:numPr>
        <w:snapToGrid w:val="0"/>
        <w:spacing w:before="60" w:line="360" w:lineRule="auto"/>
        <w:rPr>
          <w:rFonts w:ascii="宋体" w:hAnsi="宋体"/>
          <w:color w:val="auto"/>
          <w:szCs w:val="21"/>
        </w:rPr>
      </w:pPr>
      <w:r>
        <w:rPr>
          <w:rFonts w:hint="eastAsia" w:ascii="宋体" w:hAnsi="宋体"/>
          <w:color w:val="auto"/>
          <w:szCs w:val="21"/>
        </w:rPr>
        <w:t>报价人应按竞争性磋商邀请函中规定的时间和地点于报价递交截止时间之前递交报价文件。迟于报价递交截止时间递交的报价文件将被视为无效。</w:t>
      </w:r>
    </w:p>
    <w:p>
      <w:pPr>
        <w:widowControl w:val="0"/>
        <w:numPr>
          <w:ilvl w:val="1"/>
          <w:numId w:val="8"/>
        </w:numPr>
        <w:tabs>
          <w:tab w:val="left" w:pos="900"/>
        </w:tabs>
        <w:snapToGrid w:val="0"/>
        <w:spacing w:before="60" w:line="360" w:lineRule="auto"/>
        <w:rPr>
          <w:rFonts w:ascii="宋体" w:hAnsi="宋体"/>
          <w:color w:val="auto"/>
          <w:szCs w:val="21"/>
        </w:rPr>
      </w:pPr>
      <w:r>
        <w:rPr>
          <w:rFonts w:hint="eastAsia" w:ascii="宋体" w:hAnsi="宋体"/>
          <w:color w:val="auto"/>
          <w:szCs w:val="21"/>
        </w:rPr>
        <w:t>磋商期间应磋商小组的要求所作的报价修改和最后报价应在磋商小组规定的时间内递交。</w:t>
      </w:r>
    </w:p>
    <w:p>
      <w:pPr>
        <w:widowControl w:val="0"/>
        <w:snapToGrid w:val="0"/>
        <w:spacing w:before="60" w:line="360" w:lineRule="auto"/>
        <w:rPr>
          <w:rFonts w:ascii="宋体" w:hAnsi="宋体"/>
          <w:color w:val="auto"/>
          <w:spacing w:val="-6"/>
          <w:szCs w:val="21"/>
        </w:rPr>
      </w:pPr>
      <w:r>
        <w:rPr>
          <w:rFonts w:hint="eastAsia" w:ascii="宋体" w:hAnsi="宋体"/>
          <w:color w:val="auto"/>
          <w:spacing w:val="-6"/>
          <w:szCs w:val="21"/>
        </w:rPr>
        <w:t>（2）  在报价递交截止时间前报价人可以撤回报价</w:t>
      </w:r>
      <w:r>
        <w:rPr>
          <w:rFonts w:hint="eastAsia" w:ascii="宋体" w:hAnsi="宋体"/>
          <w:color w:val="auto"/>
          <w:spacing w:val="-6"/>
          <w:szCs w:val="21"/>
          <w:lang w:val="en-US" w:eastAsia="zh-CN"/>
        </w:rPr>
        <w:t>文件</w:t>
      </w:r>
      <w:r>
        <w:rPr>
          <w:rFonts w:hint="eastAsia" w:ascii="宋体" w:hAnsi="宋体"/>
          <w:color w:val="auto"/>
          <w:spacing w:val="-6"/>
          <w:szCs w:val="21"/>
        </w:rPr>
        <w:t>，但在报价递交截止时间之后不允许撤回报价</w:t>
      </w:r>
      <w:r>
        <w:rPr>
          <w:rFonts w:hint="eastAsia" w:ascii="宋体" w:hAnsi="宋体"/>
          <w:color w:val="auto"/>
          <w:spacing w:val="-6"/>
          <w:szCs w:val="21"/>
          <w:lang w:val="en-US" w:eastAsia="zh-CN"/>
        </w:rPr>
        <w:t>文件</w:t>
      </w:r>
      <w:r>
        <w:rPr>
          <w:rFonts w:hint="eastAsia" w:ascii="宋体" w:hAnsi="宋体"/>
          <w:color w:val="auto"/>
          <w:spacing w:val="-6"/>
          <w:szCs w:val="21"/>
        </w:rPr>
        <w:t>。</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四、磋商及评审</w:t>
      </w:r>
    </w:p>
    <w:p>
      <w:pPr>
        <w:tabs>
          <w:tab w:val="left" w:pos="735"/>
        </w:tabs>
        <w:adjustRightInd w:val="0"/>
        <w:snapToGrid w:val="0"/>
        <w:spacing w:before="60" w:line="360" w:lineRule="auto"/>
        <w:ind w:left="957" w:right="31" w:rightChars="15" w:hanging="957" w:hangingChars="397"/>
        <w:outlineLvl w:val="1"/>
        <w:rPr>
          <w:rFonts w:ascii="宋体" w:hAnsi="宋体"/>
          <w:b/>
          <w:color w:val="auto"/>
          <w:sz w:val="24"/>
        </w:rPr>
      </w:pPr>
      <w:r>
        <w:rPr>
          <w:rFonts w:hint="eastAsia" w:ascii="宋体" w:hAnsi="宋体"/>
          <w:b/>
          <w:color w:val="auto"/>
          <w:sz w:val="24"/>
        </w:rPr>
        <w:t>1</w:t>
      </w:r>
      <w:r>
        <w:rPr>
          <w:rFonts w:hint="eastAsia" w:ascii="宋体" w:hAnsi="宋体"/>
          <w:b/>
          <w:color w:val="auto"/>
          <w:sz w:val="24"/>
        </w:rPr>
        <w:tab/>
      </w:r>
      <w:r>
        <w:rPr>
          <w:rFonts w:hint="eastAsia" w:ascii="宋体" w:hAnsi="宋体"/>
          <w:b/>
          <w:color w:val="auto"/>
          <w:sz w:val="24"/>
        </w:rPr>
        <w:t>磋商小组</w:t>
      </w:r>
    </w:p>
    <w:p>
      <w:pPr>
        <w:tabs>
          <w:tab w:val="left" w:pos="720"/>
        </w:tabs>
        <w:adjustRightInd w:val="0"/>
        <w:snapToGrid w:val="0"/>
        <w:spacing w:before="60" w:line="360" w:lineRule="auto"/>
        <w:ind w:left="840" w:right="31" w:rightChars="15" w:hanging="840" w:hangingChars="400"/>
        <w:rPr>
          <w:rFonts w:ascii="宋体" w:hAnsi="宋体"/>
          <w:color w:val="auto"/>
          <w:szCs w:val="21"/>
        </w:rPr>
      </w:pPr>
      <w:r>
        <w:rPr>
          <w:rFonts w:hint="eastAsia" w:ascii="宋体" w:hAnsi="宋体"/>
          <w:color w:val="auto"/>
          <w:szCs w:val="21"/>
        </w:rPr>
        <w:t>1.1</w:t>
      </w:r>
      <w:r>
        <w:rPr>
          <w:rFonts w:hint="eastAsia" w:ascii="宋体" w:hAnsi="宋体"/>
          <w:color w:val="auto"/>
          <w:szCs w:val="21"/>
        </w:rPr>
        <w:tab/>
      </w:r>
      <w:r>
        <w:rPr>
          <w:rFonts w:hint="eastAsia" w:ascii="宋体" w:hAnsi="宋体"/>
          <w:color w:val="auto"/>
          <w:szCs w:val="21"/>
        </w:rPr>
        <w:t>本次采购依法组建磋商小组。磋商小组由3人或以上单数组成。</w:t>
      </w:r>
    </w:p>
    <w:p>
      <w:pPr>
        <w:tabs>
          <w:tab w:val="left" w:pos="720"/>
        </w:tabs>
        <w:adjustRightInd w:val="0"/>
        <w:snapToGrid w:val="0"/>
        <w:spacing w:before="60" w:line="360" w:lineRule="auto"/>
        <w:ind w:left="840" w:right="31" w:rightChars="15" w:hanging="840" w:hangingChars="400"/>
        <w:rPr>
          <w:rFonts w:ascii="宋体" w:hAnsi="宋体"/>
          <w:color w:val="auto"/>
          <w:szCs w:val="21"/>
        </w:rPr>
      </w:pPr>
      <w:r>
        <w:rPr>
          <w:rFonts w:hint="eastAsia" w:ascii="宋体" w:hAnsi="宋体"/>
          <w:color w:val="auto"/>
          <w:szCs w:val="21"/>
        </w:rPr>
        <w:t>1.2</w:t>
      </w:r>
      <w:r>
        <w:rPr>
          <w:rFonts w:hint="eastAsia" w:ascii="宋体" w:hAnsi="宋体"/>
          <w:color w:val="auto"/>
          <w:szCs w:val="21"/>
        </w:rPr>
        <w:tab/>
      </w:r>
      <w:r>
        <w:rPr>
          <w:rFonts w:hint="eastAsia" w:ascii="宋体" w:hAnsi="宋体"/>
          <w:color w:val="auto"/>
          <w:szCs w:val="21"/>
        </w:rPr>
        <w:t>磋商小组在磋商及评审过程中出现意见不一致时</w:t>
      </w:r>
      <w:r>
        <w:rPr>
          <w:rFonts w:ascii="宋体" w:hAnsi="宋体"/>
          <w:color w:val="auto"/>
          <w:szCs w:val="21"/>
        </w:rPr>
        <w:t>，</w:t>
      </w:r>
      <w:r>
        <w:rPr>
          <w:rFonts w:hint="eastAsia" w:ascii="宋体" w:hAnsi="宋体"/>
          <w:color w:val="auto"/>
          <w:szCs w:val="21"/>
        </w:rPr>
        <w:t>应遵循少数服从多数原则。</w:t>
      </w:r>
    </w:p>
    <w:p>
      <w:pPr>
        <w:tabs>
          <w:tab w:val="left" w:pos="720"/>
        </w:tabs>
        <w:adjustRightInd w:val="0"/>
        <w:snapToGrid w:val="0"/>
        <w:spacing w:before="60" w:line="360" w:lineRule="auto"/>
        <w:ind w:left="718" w:right="31" w:rightChars="15" w:hanging="718" w:hangingChars="342"/>
        <w:rPr>
          <w:rFonts w:ascii="宋体" w:hAnsi="宋体"/>
          <w:color w:val="auto"/>
          <w:szCs w:val="21"/>
        </w:rPr>
      </w:pPr>
      <w:r>
        <w:rPr>
          <w:rFonts w:hint="eastAsia" w:ascii="宋体" w:hAnsi="宋体"/>
          <w:color w:val="auto"/>
          <w:szCs w:val="21"/>
        </w:rPr>
        <w:t>1.3</w:t>
      </w:r>
      <w:r>
        <w:rPr>
          <w:rFonts w:hint="eastAsia" w:ascii="宋体" w:hAnsi="宋体"/>
          <w:color w:val="auto"/>
          <w:szCs w:val="21"/>
        </w:rPr>
        <w:tab/>
      </w:r>
      <w:r>
        <w:rPr>
          <w:rFonts w:hint="eastAsia" w:ascii="宋体" w:hAnsi="宋体"/>
          <w:color w:val="auto"/>
          <w:szCs w:val="21"/>
        </w:rPr>
        <w:t>磋商小组依法根据磋商文件的规定与报价人进行磋商及对最终形成的报价文件和最终磋商结果进行详细评审,并据此推荐成交候选人。</w:t>
      </w:r>
    </w:p>
    <w:p>
      <w:pPr>
        <w:tabs>
          <w:tab w:val="left" w:pos="720"/>
        </w:tabs>
        <w:snapToGrid w:val="0"/>
        <w:spacing w:before="60" w:line="360" w:lineRule="auto"/>
        <w:ind w:right="420" w:rightChars="200"/>
        <w:outlineLvl w:val="1"/>
        <w:rPr>
          <w:rFonts w:ascii="宋体" w:hAnsi="宋体"/>
          <w:b/>
          <w:color w:val="auto"/>
          <w:spacing w:val="10"/>
          <w:sz w:val="24"/>
        </w:rPr>
      </w:pPr>
      <w:r>
        <w:rPr>
          <w:rFonts w:hint="eastAsia" w:ascii="宋体" w:hAnsi="宋体"/>
          <w:b/>
          <w:color w:val="auto"/>
          <w:sz w:val="24"/>
        </w:rPr>
        <w:t xml:space="preserve">2  </w:t>
      </w:r>
      <w:r>
        <w:rPr>
          <w:rFonts w:hint="eastAsia" w:ascii="宋体" w:hAnsi="宋体"/>
          <w:b/>
          <w:color w:val="auto"/>
          <w:spacing w:val="10"/>
          <w:sz w:val="24"/>
        </w:rPr>
        <w:t xml:space="preserve">  磋商程序</w:t>
      </w:r>
    </w:p>
    <w:p>
      <w:pPr>
        <w:widowControl w:val="0"/>
        <w:numPr>
          <w:ilvl w:val="0"/>
          <w:numId w:val="9"/>
        </w:numPr>
        <w:tabs>
          <w:tab w:val="left" w:pos="720"/>
          <w:tab w:val="clear" w:pos="481"/>
        </w:tabs>
        <w:snapToGrid w:val="0"/>
        <w:spacing w:before="60" w:line="360" w:lineRule="auto"/>
        <w:ind w:left="720"/>
        <w:rPr>
          <w:rFonts w:ascii="宋体" w:hAnsi="宋体"/>
          <w:color w:val="auto"/>
          <w:szCs w:val="21"/>
        </w:rPr>
      </w:pPr>
      <w:r>
        <w:rPr>
          <w:rFonts w:hint="eastAsia" w:ascii="宋体" w:hAnsi="宋体"/>
          <w:color w:val="auto"/>
          <w:szCs w:val="21"/>
        </w:rPr>
        <w:t>磋商小组将以随机抽签的形式对在本须知规定的时间内递交报价文件的报价人进行磋商排序。</w:t>
      </w:r>
    </w:p>
    <w:p>
      <w:pPr>
        <w:widowControl w:val="0"/>
        <w:numPr>
          <w:ilvl w:val="0"/>
          <w:numId w:val="9"/>
        </w:numPr>
        <w:tabs>
          <w:tab w:val="left" w:pos="720"/>
          <w:tab w:val="clear" w:pos="481"/>
        </w:tabs>
        <w:snapToGrid w:val="0"/>
        <w:spacing w:before="60" w:line="360" w:lineRule="auto"/>
        <w:ind w:left="720"/>
        <w:rPr>
          <w:rFonts w:ascii="宋体" w:hAnsi="宋体"/>
          <w:color w:val="auto"/>
          <w:szCs w:val="21"/>
        </w:rPr>
      </w:pPr>
      <w:r>
        <w:rPr>
          <w:rFonts w:hint="eastAsia" w:ascii="宋体" w:hAnsi="宋体"/>
          <w:color w:val="auto"/>
          <w:szCs w:val="21"/>
        </w:rPr>
        <w:t>磋商小组将在按磋商排序的顺序逐一与报价人分别就技术、商务进行相同轮次（一个或多个回合）磋商，并形成磋商纪要文件。磋商目的在于明确需求，使所有报价人的响应具有可比性。在磋商中，磋商的任何一方不得透露与磋商有关的其他报价人的技术资料、报价和其他信息。</w:t>
      </w:r>
    </w:p>
    <w:p>
      <w:pPr>
        <w:widowControl w:val="0"/>
        <w:numPr>
          <w:ilvl w:val="0"/>
          <w:numId w:val="9"/>
        </w:numPr>
        <w:tabs>
          <w:tab w:val="left" w:pos="720"/>
          <w:tab w:val="clear" w:pos="481"/>
        </w:tabs>
        <w:snapToGrid w:val="0"/>
        <w:spacing w:before="60" w:line="360" w:lineRule="auto"/>
        <w:ind w:left="720"/>
        <w:rPr>
          <w:rFonts w:ascii="宋体" w:hAnsi="宋体"/>
          <w:color w:val="auto"/>
          <w:szCs w:val="21"/>
        </w:rPr>
      </w:pPr>
      <w:r>
        <w:rPr>
          <w:rFonts w:hint="eastAsia" w:ascii="宋体" w:hAnsi="宋体"/>
          <w:color w:val="auto"/>
          <w:szCs w:val="21"/>
        </w:rPr>
        <w:t>在磋商过程中，磋商小组可以根据磋商文件和磋商情况实质性变动采购需求中的技术、服务要求以及合同草案条款，但不得变动磋商文件的其他内容。实质性变动的内容，须经采购人代表确认。对磋商文件作出的实质性变动是磋商文件的有效组成部分，磋商小组应当及时以书面形式同时通知所有参加磋商的报价人。</w:t>
      </w:r>
    </w:p>
    <w:p>
      <w:pPr>
        <w:widowControl w:val="0"/>
        <w:numPr>
          <w:ilvl w:val="0"/>
          <w:numId w:val="9"/>
        </w:numPr>
        <w:tabs>
          <w:tab w:val="left" w:pos="720"/>
          <w:tab w:val="clear" w:pos="481"/>
        </w:tabs>
        <w:snapToGrid w:val="0"/>
        <w:spacing w:before="60" w:line="360" w:lineRule="auto"/>
        <w:ind w:left="720"/>
        <w:rPr>
          <w:rFonts w:ascii="宋体" w:hAnsi="宋体"/>
          <w:color w:val="auto"/>
          <w:szCs w:val="21"/>
        </w:rPr>
      </w:pPr>
      <w:r>
        <w:rPr>
          <w:rFonts w:hint="eastAsia" w:ascii="宋体" w:hAnsi="宋体"/>
          <w:color w:val="auto"/>
          <w:szCs w:val="21"/>
        </w:rPr>
        <w:t>磋商的内容包括但不限于：商务条件、技术规格、产品质量、验收、合同执行计划、相关服务、质量保证、采购人配合等内容。</w:t>
      </w:r>
    </w:p>
    <w:p>
      <w:pPr>
        <w:widowControl w:val="0"/>
        <w:numPr>
          <w:ilvl w:val="0"/>
          <w:numId w:val="9"/>
        </w:numPr>
        <w:tabs>
          <w:tab w:val="left" w:pos="720"/>
          <w:tab w:val="clear" w:pos="481"/>
        </w:tabs>
        <w:snapToGrid w:val="0"/>
        <w:spacing w:before="60" w:line="360" w:lineRule="auto"/>
        <w:ind w:left="720"/>
        <w:rPr>
          <w:rFonts w:ascii="宋体" w:hAnsi="宋体"/>
          <w:color w:val="auto"/>
          <w:szCs w:val="21"/>
        </w:rPr>
      </w:pPr>
      <w:r>
        <w:rPr>
          <w:rFonts w:hint="eastAsia" w:ascii="宋体" w:hAnsi="宋体"/>
          <w:color w:val="auto"/>
          <w:szCs w:val="21"/>
        </w:rPr>
        <w:t>技术商务磋商的时间及地点(见磋商邀请函)。</w:t>
      </w:r>
    </w:p>
    <w:p>
      <w:pPr>
        <w:widowControl w:val="0"/>
        <w:numPr>
          <w:ilvl w:val="0"/>
          <w:numId w:val="9"/>
        </w:numPr>
        <w:tabs>
          <w:tab w:val="left" w:pos="720"/>
          <w:tab w:val="clear" w:pos="481"/>
        </w:tabs>
        <w:snapToGrid w:val="0"/>
        <w:spacing w:before="60" w:line="360" w:lineRule="auto"/>
        <w:ind w:left="720"/>
        <w:rPr>
          <w:rFonts w:ascii="宋体" w:hAnsi="宋体"/>
          <w:color w:val="auto"/>
          <w:szCs w:val="21"/>
        </w:rPr>
      </w:pPr>
      <w:r>
        <w:rPr>
          <w:rFonts w:hint="eastAsia" w:ascii="宋体" w:hAnsi="宋体"/>
          <w:color w:val="auto"/>
          <w:szCs w:val="21"/>
        </w:rPr>
        <w:t>在磋商过程中，报价人提交的响应文件、澄清文件、最后报价文件等，由报价人法人代表或授权代表当场签字后生效，报价人应受其约束。</w:t>
      </w:r>
    </w:p>
    <w:p>
      <w:pPr>
        <w:tabs>
          <w:tab w:val="left" w:pos="840"/>
        </w:tabs>
        <w:snapToGrid w:val="0"/>
        <w:spacing w:before="60" w:line="360" w:lineRule="auto"/>
        <w:ind w:right="420" w:rightChars="200"/>
        <w:outlineLvl w:val="1"/>
        <w:rPr>
          <w:rFonts w:ascii="宋体" w:hAnsi="宋体"/>
          <w:b/>
          <w:color w:val="auto"/>
          <w:spacing w:val="10"/>
          <w:sz w:val="24"/>
        </w:rPr>
      </w:pPr>
      <w:r>
        <w:rPr>
          <w:rFonts w:hint="eastAsia" w:ascii="宋体" w:hAnsi="宋体"/>
          <w:b/>
          <w:color w:val="auto"/>
          <w:spacing w:val="10"/>
          <w:sz w:val="24"/>
        </w:rPr>
        <w:t>3    评审</w:t>
      </w:r>
    </w:p>
    <w:p>
      <w:pPr>
        <w:widowControl w:val="0"/>
        <w:numPr>
          <w:ilvl w:val="0"/>
          <w:numId w:val="10"/>
        </w:numPr>
        <w:tabs>
          <w:tab w:val="left" w:pos="720"/>
          <w:tab w:val="clear" w:pos="481"/>
        </w:tabs>
        <w:snapToGrid w:val="0"/>
        <w:spacing w:before="60" w:line="360" w:lineRule="auto"/>
        <w:ind w:left="720"/>
        <w:rPr>
          <w:rFonts w:ascii="宋体" w:hAnsi="宋体"/>
          <w:color w:val="auto"/>
          <w:szCs w:val="21"/>
        </w:rPr>
      </w:pPr>
      <w:r>
        <w:rPr>
          <w:rFonts w:hint="eastAsia" w:ascii="宋体" w:hAnsi="宋体"/>
          <w:color w:val="auto"/>
          <w:szCs w:val="21"/>
        </w:rPr>
        <w:t>磋商小组将只对确定为实质上响应磋商文件要求的澄清等内容进行详细评审。</w:t>
      </w:r>
    </w:p>
    <w:p>
      <w:pPr>
        <w:widowControl w:val="0"/>
        <w:numPr>
          <w:ilvl w:val="0"/>
          <w:numId w:val="10"/>
        </w:numPr>
        <w:tabs>
          <w:tab w:val="left" w:pos="720"/>
          <w:tab w:val="clear" w:pos="481"/>
        </w:tabs>
        <w:snapToGrid w:val="0"/>
        <w:spacing w:before="60" w:line="360" w:lineRule="auto"/>
        <w:ind w:hanging="481"/>
        <w:rPr>
          <w:rFonts w:ascii="宋体" w:hAnsi="宋体"/>
          <w:color w:val="auto"/>
          <w:szCs w:val="21"/>
        </w:rPr>
      </w:pPr>
      <w:r>
        <w:rPr>
          <w:rFonts w:hint="eastAsia" w:ascii="宋体" w:hAnsi="宋体"/>
          <w:color w:val="auto"/>
          <w:szCs w:val="21"/>
        </w:rPr>
        <w:t>实质上没有响应磋商文件要求的报价文件将被视为无效报价。</w:t>
      </w:r>
    </w:p>
    <w:p>
      <w:pPr>
        <w:widowControl w:val="0"/>
        <w:numPr>
          <w:ilvl w:val="0"/>
          <w:numId w:val="10"/>
        </w:numPr>
        <w:tabs>
          <w:tab w:val="left" w:pos="720"/>
          <w:tab w:val="clear" w:pos="481"/>
        </w:tabs>
        <w:snapToGrid w:val="0"/>
        <w:spacing w:before="60" w:line="360" w:lineRule="auto"/>
        <w:ind w:left="720"/>
        <w:rPr>
          <w:rFonts w:ascii="宋体" w:hAnsi="宋体"/>
          <w:color w:val="auto"/>
          <w:szCs w:val="21"/>
        </w:rPr>
      </w:pPr>
      <w:r>
        <w:rPr>
          <w:rFonts w:hint="eastAsia" w:ascii="宋体" w:hAnsi="宋体"/>
          <w:color w:val="auto"/>
          <w:szCs w:val="21"/>
        </w:rPr>
        <w:t>磋商小组将按磋商文件规定的原则进行评审。</w:t>
      </w:r>
    </w:p>
    <w:p>
      <w:pPr>
        <w:snapToGrid w:val="0"/>
        <w:spacing w:before="60" w:line="360" w:lineRule="auto"/>
        <w:outlineLvl w:val="1"/>
        <w:rPr>
          <w:rFonts w:ascii="宋体" w:hAnsi="宋体" w:cs="Arial"/>
          <w:b/>
          <w:bCs/>
          <w:color w:val="auto"/>
          <w:sz w:val="24"/>
        </w:rPr>
      </w:pPr>
      <w:bookmarkStart w:id="7" w:name="_Toc61460075"/>
      <w:r>
        <w:rPr>
          <w:rFonts w:hint="eastAsia" w:ascii="宋体" w:hAnsi="宋体" w:cs="Arial"/>
          <w:b/>
          <w:bCs/>
          <w:color w:val="auto"/>
          <w:sz w:val="24"/>
        </w:rPr>
        <w:t>4</w:t>
      </w:r>
      <w:r>
        <w:rPr>
          <w:rFonts w:hint="eastAsia" w:ascii="宋体" w:hAnsi="宋体"/>
          <w:color w:val="auto"/>
          <w:sz w:val="24"/>
        </w:rPr>
        <w:t xml:space="preserve">    </w:t>
      </w:r>
      <w:r>
        <w:rPr>
          <w:rFonts w:ascii="宋体" w:hAnsi="宋体" w:cs="Arial"/>
          <w:b/>
          <w:bCs/>
          <w:color w:val="auto"/>
          <w:sz w:val="24"/>
        </w:rPr>
        <w:t>评审办法</w:t>
      </w:r>
    </w:p>
    <w:p>
      <w:pPr>
        <w:tabs>
          <w:tab w:val="left" w:pos="720"/>
        </w:tabs>
        <w:snapToGrid w:val="0"/>
        <w:spacing w:before="60" w:line="360" w:lineRule="auto"/>
        <w:ind w:right="-105" w:rightChars="-50"/>
        <w:rPr>
          <w:rFonts w:ascii="宋体" w:hAnsi="宋体" w:cs="Arial"/>
          <w:color w:val="auto"/>
          <w:szCs w:val="21"/>
        </w:rPr>
      </w:pPr>
      <w:r>
        <w:rPr>
          <w:rFonts w:hint="eastAsia" w:ascii="宋体" w:hAnsi="宋体" w:cs="Arial"/>
          <w:color w:val="auto"/>
          <w:szCs w:val="21"/>
        </w:rPr>
        <w:t>4.1</w:t>
      </w:r>
      <w:r>
        <w:rPr>
          <w:rFonts w:hint="eastAsia" w:ascii="宋体" w:hAnsi="宋体" w:cs="Arial"/>
          <w:color w:val="auto"/>
          <w:szCs w:val="21"/>
        </w:rPr>
        <w:tab/>
      </w:r>
      <w:r>
        <w:rPr>
          <w:rFonts w:ascii="宋体" w:hAnsi="宋体" w:cs="Arial"/>
          <w:color w:val="auto"/>
          <w:szCs w:val="21"/>
        </w:rPr>
        <w:t>评审原则</w:t>
      </w:r>
    </w:p>
    <w:p>
      <w:pPr>
        <w:snapToGrid w:val="0"/>
        <w:spacing w:before="60" w:line="360" w:lineRule="auto"/>
        <w:ind w:left="735" w:hanging="735" w:hangingChars="350"/>
        <w:rPr>
          <w:rFonts w:ascii="宋体" w:hAnsi="宋体" w:cs="Arial"/>
          <w:color w:val="auto"/>
          <w:szCs w:val="21"/>
        </w:rPr>
      </w:pPr>
      <w:r>
        <w:rPr>
          <w:rFonts w:hint="eastAsia" w:ascii="宋体" w:hAnsi="宋体" w:cs="Arial"/>
          <w:color w:val="auto"/>
          <w:szCs w:val="21"/>
        </w:rPr>
        <w:t xml:space="preserve">（1）  </w:t>
      </w:r>
      <w:r>
        <w:rPr>
          <w:rFonts w:ascii="宋体" w:hAnsi="宋体" w:cs="Arial"/>
          <w:color w:val="auto"/>
          <w:szCs w:val="21"/>
        </w:rPr>
        <w:t>本次采购采用竞争性磋商方式进行，评审由依法组成的磋商小组负责完成。评审基本原则：评审工作应依据国家</w:t>
      </w:r>
      <w:r>
        <w:rPr>
          <w:rFonts w:hint="eastAsia" w:ascii="宋体" w:hAnsi="宋体" w:cs="Arial"/>
          <w:color w:val="auto"/>
          <w:szCs w:val="21"/>
        </w:rPr>
        <w:t>部委</w:t>
      </w:r>
      <w:r>
        <w:rPr>
          <w:rFonts w:ascii="宋体" w:hAnsi="宋体" w:cs="Arial"/>
          <w:color w:val="auto"/>
          <w:szCs w:val="21"/>
        </w:rPr>
        <w:t>和地方采购的有关规定，遵循“公开、公平、公正、择优、诚实信用”的原则。</w:t>
      </w:r>
    </w:p>
    <w:p>
      <w:pPr>
        <w:snapToGrid w:val="0"/>
        <w:spacing w:before="60" w:line="360" w:lineRule="auto"/>
        <w:ind w:left="735" w:hanging="735" w:hangingChars="350"/>
        <w:rPr>
          <w:rFonts w:ascii="宋体" w:hAnsi="宋体" w:cs="Arial"/>
          <w:color w:val="auto"/>
          <w:szCs w:val="21"/>
        </w:rPr>
      </w:pPr>
      <w:r>
        <w:rPr>
          <w:rFonts w:hint="eastAsia" w:ascii="宋体" w:hAnsi="宋体" w:cs="Arial"/>
          <w:color w:val="auto"/>
          <w:szCs w:val="21"/>
        </w:rPr>
        <w:t xml:space="preserve">（2）  </w:t>
      </w:r>
      <w:r>
        <w:rPr>
          <w:rFonts w:ascii="宋体" w:hAnsi="宋体" w:cs="Arial"/>
          <w:color w:val="auto"/>
          <w:szCs w:val="21"/>
        </w:rPr>
        <w:t>本次竞争性磋商采购的评审采用</w:t>
      </w:r>
      <w:r>
        <w:rPr>
          <w:rFonts w:hint="eastAsia" w:ascii="宋体" w:hAnsi="宋体" w:cs="Arial"/>
          <w:b/>
          <w:color w:val="auto"/>
          <w:szCs w:val="21"/>
        </w:rPr>
        <w:t>综合评分法</w:t>
      </w:r>
      <w:r>
        <w:rPr>
          <w:rFonts w:ascii="宋体" w:hAnsi="宋体" w:cs="Arial"/>
          <w:color w:val="auto"/>
          <w:szCs w:val="21"/>
        </w:rPr>
        <w:t>。本次评审是以磋商文件，最终形成的报价文件和磋商承诺文件和最后报价为依据，</w:t>
      </w:r>
      <w:r>
        <w:rPr>
          <w:rFonts w:hint="eastAsia" w:ascii="宋体" w:hAnsi="宋体" w:cs="Arial"/>
          <w:color w:val="auto"/>
          <w:szCs w:val="21"/>
        </w:rPr>
        <w:t>在需求明确的基础上，</w:t>
      </w:r>
      <w:r>
        <w:rPr>
          <w:rFonts w:ascii="宋体" w:hAnsi="宋体" w:cs="Arial"/>
          <w:color w:val="auto"/>
          <w:szCs w:val="21"/>
        </w:rPr>
        <w:t>按公正、科学、客观、平等竞争的要求，推荐技术先进、经验丰富、信誉良好、售后服务好、及综合实力强的成交报价人。</w:t>
      </w:r>
    </w:p>
    <w:p>
      <w:pPr>
        <w:widowControl w:val="0"/>
        <w:snapToGrid w:val="0"/>
        <w:spacing w:before="60" w:line="360" w:lineRule="auto"/>
        <w:ind w:left="735" w:hanging="735" w:hangingChars="350"/>
        <w:jc w:val="both"/>
        <w:rPr>
          <w:rFonts w:ascii="宋体" w:hAnsi="宋体" w:cs="Arial"/>
          <w:color w:val="auto"/>
          <w:szCs w:val="21"/>
        </w:rPr>
      </w:pPr>
      <w:r>
        <w:rPr>
          <w:rFonts w:hint="eastAsia" w:ascii="宋体" w:hAnsi="宋体" w:cs="Arial"/>
          <w:color w:val="auto"/>
          <w:szCs w:val="21"/>
        </w:rPr>
        <w:t xml:space="preserve">（3）  </w:t>
      </w:r>
      <w:r>
        <w:rPr>
          <w:rFonts w:ascii="宋体" w:hAnsi="宋体" w:cs="Arial"/>
          <w:color w:val="auto"/>
          <w:szCs w:val="21"/>
        </w:rPr>
        <w:t>参加磋商工作的所有人员应遵守国家</w:t>
      </w:r>
      <w:r>
        <w:rPr>
          <w:rFonts w:hint="eastAsia" w:ascii="宋体" w:hAnsi="宋体" w:cs="Arial"/>
          <w:color w:val="auto"/>
          <w:szCs w:val="21"/>
        </w:rPr>
        <w:t>部委</w:t>
      </w:r>
      <w:r>
        <w:rPr>
          <w:rFonts w:ascii="宋体" w:hAnsi="宋体" w:cs="Arial"/>
          <w:color w:val="auto"/>
          <w:szCs w:val="21"/>
        </w:rPr>
        <w:t>和地方采购的有关规定，严格保密，确保竞争性磋商工作公平、公正，任何单位和个人不得无理干预磋商小组的正常工作。</w:t>
      </w:r>
    </w:p>
    <w:p>
      <w:pPr>
        <w:snapToGrid w:val="0"/>
        <w:spacing w:before="60" w:line="360" w:lineRule="auto"/>
        <w:ind w:left="718" w:hanging="718" w:hangingChars="342"/>
        <w:rPr>
          <w:rFonts w:ascii="宋体" w:hAnsi="宋体" w:cs="Arial"/>
          <w:color w:val="auto"/>
          <w:szCs w:val="21"/>
        </w:rPr>
      </w:pPr>
      <w:r>
        <w:rPr>
          <w:rFonts w:hint="eastAsia" w:ascii="宋体" w:hAnsi="宋体" w:cs="Arial"/>
          <w:color w:val="auto"/>
          <w:szCs w:val="21"/>
        </w:rPr>
        <w:t>4.2</w:t>
      </w:r>
      <w:r>
        <w:rPr>
          <w:rFonts w:hint="eastAsia" w:ascii="宋体" w:hAnsi="宋体" w:cs="Arial"/>
          <w:color w:val="auto"/>
          <w:szCs w:val="21"/>
        </w:rPr>
        <w:tab/>
      </w:r>
      <w:r>
        <w:rPr>
          <w:rFonts w:hint="eastAsia" w:ascii="宋体" w:hAnsi="宋体" w:cs="Arial"/>
          <w:color w:val="auto"/>
          <w:szCs w:val="21"/>
        </w:rPr>
        <w:t>磋商</w:t>
      </w:r>
      <w:r>
        <w:rPr>
          <w:rFonts w:ascii="宋体" w:hAnsi="宋体" w:cs="Arial"/>
          <w:color w:val="auto"/>
          <w:szCs w:val="21"/>
        </w:rPr>
        <w:t>评审程序和评审方法</w:t>
      </w:r>
    </w:p>
    <w:p>
      <w:pPr>
        <w:numPr>
          <w:ilvl w:val="0"/>
          <w:numId w:val="11"/>
        </w:numPr>
        <w:spacing w:line="480" w:lineRule="exact"/>
        <w:rPr>
          <w:color w:val="auto"/>
        </w:rPr>
      </w:pPr>
      <w:r>
        <w:rPr>
          <w:rFonts w:hint="eastAsia" w:ascii="宋体" w:hAnsi="宋体" w:cs="Arial"/>
          <w:color w:val="auto"/>
          <w:szCs w:val="21"/>
        </w:rPr>
        <w:t xml:space="preserve"> </w:t>
      </w:r>
      <w:r>
        <w:rPr>
          <w:rFonts w:hint="eastAsia"/>
          <w:color w:val="auto"/>
        </w:rPr>
        <w:t>评标委员会根据“投标文件初步评审表”对投标文件的资格性和符合性进行评审，不能通过</w:t>
      </w:r>
    </w:p>
    <w:p>
      <w:pPr>
        <w:spacing w:line="480" w:lineRule="exact"/>
        <w:rPr>
          <w:color w:val="auto"/>
        </w:rPr>
      </w:pPr>
      <w:r>
        <w:rPr>
          <w:rFonts w:hint="eastAsia"/>
          <w:color w:val="auto"/>
        </w:rPr>
        <w:t xml:space="preserve">       资格性审查的报价人，无需进行符合性审查，只有对“投标文件初步评审表”所列各项作出</w:t>
      </w:r>
    </w:p>
    <w:p>
      <w:pPr>
        <w:spacing w:line="480" w:lineRule="exact"/>
        <w:rPr>
          <w:color w:val="auto"/>
        </w:rPr>
      </w:pPr>
      <w:r>
        <w:rPr>
          <w:rFonts w:hint="eastAsia"/>
          <w:color w:val="auto"/>
        </w:rPr>
        <w:t xml:space="preserve">       实质性响应的投标文件才能通过初步评审。对是否实质性响应</w:t>
      </w:r>
      <w:r>
        <w:rPr>
          <w:rFonts w:hint="eastAsia"/>
          <w:color w:val="auto"/>
          <w:lang w:eastAsia="zh-CN"/>
        </w:rPr>
        <w:t>磋商文件</w:t>
      </w:r>
      <w:r>
        <w:rPr>
          <w:rFonts w:hint="eastAsia"/>
          <w:color w:val="auto"/>
        </w:rPr>
        <w:t>的要求有争议的投</w:t>
      </w:r>
    </w:p>
    <w:p>
      <w:pPr>
        <w:spacing w:line="480" w:lineRule="exact"/>
        <w:rPr>
          <w:color w:val="auto"/>
        </w:rPr>
      </w:pPr>
      <w:r>
        <w:rPr>
          <w:rFonts w:hint="eastAsia"/>
          <w:color w:val="auto"/>
        </w:rPr>
        <w:t xml:space="preserve">       标，评标委员会将以记名方式表决，得票超过半数的报价人有资格进入下一阶段的评审，否</w:t>
      </w:r>
    </w:p>
    <w:p>
      <w:pPr>
        <w:spacing w:line="480" w:lineRule="exact"/>
        <w:rPr>
          <w:color w:val="auto"/>
        </w:rPr>
      </w:pPr>
      <w:r>
        <w:rPr>
          <w:rFonts w:hint="eastAsia"/>
          <w:color w:val="auto"/>
        </w:rPr>
        <w:t xml:space="preserve">       则将被淘汰。</w:t>
      </w:r>
    </w:p>
    <w:p>
      <w:pPr>
        <w:widowControl w:val="0"/>
        <w:snapToGrid w:val="0"/>
        <w:spacing w:before="60" w:line="360" w:lineRule="auto"/>
        <w:ind w:left="735" w:hanging="735" w:hangingChars="350"/>
        <w:rPr>
          <w:rFonts w:ascii="宋体" w:hAnsi="宋体" w:cs="Arial"/>
          <w:color w:val="auto"/>
          <w:szCs w:val="21"/>
        </w:rPr>
      </w:pPr>
      <w:r>
        <w:rPr>
          <w:rFonts w:hint="eastAsia" w:ascii="宋体" w:hAnsi="宋体" w:cs="Arial"/>
          <w:color w:val="auto"/>
          <w:szCs w:val="21"/>
        </w:rPr>
        <w:t xml:space="preserve">（2）  </w:t>
      </w:r>
      <w:r>
        <w:rPr>
          <w:rFonts w:ascii="宋体" w:hAnsi="宋体" w:cs="Arial"/>
          <w:color w:val="auto"/>
          <w:szCs w:val="21"/>
        </w:rPr>
        <w:t>按照</w:t>
      </w:r>
      <w:r>
        <w:rPr>
          <w:rFonts w:hint="eastAsia" w:ascii="宋体" w:hAnsi="宋体" w:cs="Arial"/>
          <w:color w:val="auto"/>
          <w:szCs w:val="21"/>
        </w:rPr>
        <w:t>磋商</w:t>
      </w:r>
      <w:r>
        <w:rPr>
          <w:rFonts w:ascii="宋体" w:hAnsi="宋体" w:cs="Arial"/>
          <w:color w:val="auto"/>
          <w:szCs w:val="21"/>
        </w:rPr>
        <w:t>评审程序的规定，磋商小组首先阅读报价人的报价文件，据此与报价人进行技术、商务的澄清、修正和磋商，磋商中发现报价人的报价文件资料不齐或欠缺时,准许其在规定时间内补足相应资料，如不能补足，该报价则将会由于不符合磋商的基本要求而被拒绝。</w:t>
      </w:r>
    </w:p>
    <w:p>
      <w:pPr>
        <w:widowControl w:val="0"/>
        <w:snapToGrid w:val="0"/>
        <w:spacing w:before="60" w:line="360" w:lineRule="auto"/>
        <w:ind w:left="735" w:hanging="735" w:hangingChars="350"/>
        <w:rPr>
          <w:rFonts w:ascii="宋体"/>
          <w:color w:val="auto"/>
        </w:rPr>
      </w:pPr>
      <w:r>
        <w:rPr>
          <w:rFonts w:hint="eastAsia" w:ascii="宋体" w:hAnsi="宋体" w:cs="Arial"/>
          <w:color w:val="auto"/>
          <w:szCs w:val="21"/>
        </w:rPr>
        <w:t xml:space="preserve">（3）  </w:t>
      </w:r>
      <w:r>
        <w:rPr>
          <w:rFonts w:hint="eastAsia" w:ascii="宋体"/>
          <w:color w:val="auto"/>
        </w:rPr>
        <w:t>综合评分及其统计：按照评标程序、评分标准以及权重分配的规定，</w:t>
      </w:r>
      <w:r>
        <w:rPr>
          <w:rFonts w:ascii="宋体" w:hAnsi="宋体" w:cs="Arial"/>
          <w:color w:val="auto"/>
          <w:szCs w:val="21"/>
        </w:rPr>
        <w:t>磋商小组</w:t>
      </w:r>
      <w:r>
        <w:rPr>
          <w:rFonts w:hint="eastAsia" w:ascii="宋体"/>
          <w:color w:val="auto"/>
        </w:rPr>
        <w:t>成员分别就各个报价人的</w:t>
      </w:r>
      <w:r>
        <w:rPr>
          <w:rFonts w:hint="eastAsia" w:ascii="宋体" w:hAnsi="宋体"/>
          <w:color w:val="auto"/>
        </w:rPr>
        <w:t>服务</w:t>
      </w:r>
      <w:r>
        <w:rPr>
          <w:rFonts w:hint="eastAsia" w:ascii="宋体"/>
          <w:color w:val="auto"/>
        </w:rPr>
        <w:t>状况、商务状况及其对磋商文件要求的响应情况进行评议和比较，评出其</w:t>
      </w:r>
      <w:r>
        <w:rPr>
          <w:rFonts w:hint="eastAsia" w:ascii="宋体" w:hAnsi="宋体"/>
          <w:color w:val="auto"/>
        </w:rPr>
        <w:t>服务</w:t>
      </w:r>
      <w:r>
        <w:rPr>
          <w:rFonts w:hint="eastAsia" w:ascii="宋体"/>
          <w:color w:val="auto"/>
        </w:rPr>
        <w:t>商务评分。各评委的评分的算术平均值即为该报价人的</w:t>
      </w:r>
      <w:r>
        <w:rPr>
          <w:rFonts w:hint="eastAsia" w:ascii="宋体" w:hAnsi="宋体"/>
          <w:color w:val="auto"/>
        </w:rPr>
        <w:t>服务</w:t>
      </w:r>
      <w:r>
        <w:rPr>
          <w:rFonts w:hint="eastAsia" w:ascii="宋体"/>
          <w:color w:val="auto"/>
        </w:rPr>
        <w:t>商务评分。然后，评出磋商报价得分。将</w:t>
      </w:r>
      <w:r>
        <w:rPr>
          <w:rFonts w:hint="eastAsia" w:ascii="宋体"/>
          <w:color w:val="auto"/>
          <w:lang w:val="en-US" w:eastAsia="zh-CN"/>
        </w:rPr>
        <w:t>服务</w:t>
      </w:r>
      <w:r>
        <w:rPr>
          <w:rFonts w:hint="eastAsia" w:ascii="宋体"/>
          <w:color w:val="auto"/>
        </w:rPr>
        <w:t>评分、商务评分分别乘以权重再相加得出综合得分，综合得分按由高到低顺序排列。</w:t>
      </w:r>
      <w:r>
        <w:rPr>
          <w:rFonts w:hint="eastAsia" w:ascii="宋体"/>
          <w:color w:val="auto"/>
        </w:rPr>
        <w:t>综合得分相同的，</w:t>
      </w:r>
      <w:r>
        <w:rPr>
          <w:rFonts w:hint="eastAsia" w:hAnsi="宋体"/>
          <w:color w:val="auto"/>
        </w:rPr>
        <w:t>按下列顺序比较确定：（1）</w:t>
      </w:r>
      <w:r>
        <w:rPr>
          <w:rFonts w:hint="eastAsia" w:ascii="宋体" w:hAnsi="宋体"/>
          <w:color w:val="auto"/>
        </w:rPr>
        <w:t>小型或微型企业；</w:t>
      </w:r>
      <w:r>
        <w:rPr>
          <w:rFonts w:hint="eastAsia" w:hAnsi="宋体"/>
          <w:color w:val="auto"/>
        </w:rPr>
        <w:t>（2）节能产品；（3）环保产品；（4）服务评分（由高到低）。</w:t>
      </w:r>
      <w:r>
        <w:rPr>
          <w:rFonts w:hint="eastAsia" w:ascii="宋体"/>
          <w:color w:val="auto"/>
        </w:rPr>
        <w:t>综合得分最高的报价人为第一中标候选供应商，综合得分次高的报价人为第二中标候选供应商。</w:t>
      </w:r>
    </w:p>
    <w:p>
      <w:pPr>
        <w:widowControl w:val="0"/>
        <w:snapToGrid w:val="0"/>
        <w:spacing w:before="60" w:line="360" w:lineRule="auto"/>
        <w:rPr>
          <w:rFonts w:ascii="宋体"/>
          <w:color w:val="auto"/>
        </w:rPr>
      </w:pPr>
      <w:r>
        <w:rPr>
          <w:rFonts w:hint="eastAsia" w:ascii="宋体" w:hAnsi="宋体" w:cs="Arial"/>
          <w:color w:val="auto"/>
          <w:szCs w:val="21"/>
        </w:rPr>
        <w:t xml:space="preserve">（4）  </w:t>
      </w:r>
      <w:r>
        <w:rPr>
          <w:rFonts w:hint="eastAsia" w:ascii="宋体" w:hAnsi="宋体"/>
          <w:color w:val="auto"/>
        </w:rPr>
        <w:t>服务</w:t>
      </w:r>
      <w:r>
        <w:rPr>
          <w:rFonts w:hint="eastAsia" w:hAnsi="宋体"/>
          <w:color w:val="auto"/>
        </w:rPr>
        <w:t>商务的评审：</w:t>
      </w:r>
    </w:p>
    <w:p>
      <w:pPr>
        <w:tabs>
          <w:tab w:val="left" w:pos="360"/>
          <w:tab w:val="left" w:pos="1030"/>
        </w:tabs>
        <w:snapToGrid w:val="0"/>
        <w:spacing w:before="60" w:line="360" w:lineRule="auto"/>
        <w:ind w:left="777" w:leftChars="200" w:hanging="357" w:hangingChars="170"/>
        <w:rPr>
          <w:rFonts w:ascii="宋体" w:hAnsi="宋体"/>
          <w:color w:val="auto"/>
        </w:rPr>
      </w:pPr>
      <w:r>
        <w:rPr>
          <w:rFonts w:hint="eastAsia" w:ascii="宋体" w:hAnsi="宋体"/>
          <w:color w:val="auto"/>
        </w:rPr>
        <w:t>1．服务商务评分：服务商务评分各单项所占权重详见附表《服务商务打分表》；（按四舍五入原则取值并保留小数点后两位有效数字。）</w:t>
      </w:r>
    </w:p>
    <w:p>
      <w:pPr>
        <w:widowControl w:val="0"/>
        <w:snapToGrid w:val="0"/>
        <w:spacing w:before="60" w:line="360" w:lineRule="auto"/>
        <w:ind w:firstLine="420" w:firstLineChars="200"/>
        <w:rPr>
          <w:rFonts w:ascii="宋体" w:hAnsi="宋体"/>
          <w:color w:val="auto"/>
        </w:rPr>
      </w:pPr>
      <w:r>
        <w:rPr>
          <w:rFonts w:hint="eastAsia" w:ascii="宋体"/>
          <w:color w:val="auto"/>
        </w:rPr>
        <w:t>2．</w:t>
      </w:r>
      <w:r>
        <w:rPr>
          <w:rFonts w:hint="eastAsia" w:ascii="宋体"/>
          <w:color w:val="auto"/>
          <w:lang w:val="en-US" w:eastAsia="zh-CN"/>
        </w:rPr>
        <w:t>关于中小型企业及监狱企业的评审：</w:t>
      </w:r>
    </w:p>
    <w:p>
      <w:pPr>
        <w:spacing w:line="360" w:lineRule="auto"/>
        <w:ind w:left="735" w:leftChars="200" w:hanging="315" w:hangingChars="150"/>
        <w:rPr>
          <w:rFonts w:ascii="宋体" w:hAnsi="宋体"/>
          <w:color w:val="auto"/>
          <w:szCs w:val="21"/>
        </w:rPr>
      </w:pPr>
      <w:r>
        <w:rPr>
          <w:rFonts w:hint="eastAsia" w:ascii="宋体" w:hAnsi="宋体"/>
          <w:color w:val="auto"/>
          <w:szCs w:val="21"/>
        </w:rPr>
        <w:t>1）根据财政部、工业和信息化部印发的《政府采购促进中小企业发展暂行办法》（财库[2011]181号）的规定，对小型和微型企业产品的价格给予6%的扣除，用扣除后的价格参与评审；提供的服务中仅有部分小型和微型企业的，则按所提供小型和微型企业服务的价格予以扣除。</w:t>
      </w:r>
    </w:p>
    <w:p>
      <w:pPr>
        <w:spacing w:line="360" w:lineRule="auto"/>
        <w:ind w:left="735" w:leftChars="200" w:hanging="315" w:hangingChars="150"/>
        <w:rPr>
          <w:rFonts w:ascii="宋体" w:hAnsi="宋体"/>
          <w:color w:val="auto"/>
          <w:szCs w:val="21"/>
        </w:rPr>
      </w:pPr>
      <w:r>
        <w:rPr>
          <w:rFonts w:hint="eastAsia" w:ascii="宋体" w:hAnsi="宋体"/>
          <w:color w:val="auto"/>
          <w:szCs w:val="21"/>
        </w:rPr>
        <w:t>2）《政府采购促进中小企业发展暂行办法》所指中小企业（含中型、小型、微型企业，下同）应当同时符合以下条件：</w:t>
      </w:r>
      <w:r>
        <w:rPr>
          <w:rFonts w:ascii="宋体" w:hAnsi="宋体"/>
          <w:color w:val="auto"/>
          <w:szCs w:val="21"/>
        </w:rPr>
        <w:fldChar w:fldCharType="begin"/>
      </w:r>
      <w:r>
        <w:rPr>
          <w:rFonts w:ascii="宋体" w:hAnsi="宋体"/>
          <w:color w:val="auto"/>
          <w:szCs w:val="21"/>
        </w:rPr>
        <w:instrText xml:space="preserve"> </w:instrText>
      </w:r>
      <w:r>
        <w:rPr>
          <w:rFonts w:hint="eastAsia" w:ascii="宋体" w:hAnsi="宋体"/>
          <w:color w:val="auto"/>
          <w:szCs w:val="21"/>
        </w:rPr>
        <w:instrText xml:space="preserve">= 1 \* GB3</w:instrText>
      </w:r>
      <w:r>
        <w:rPr>
          <w:rFonts w:ascii="宋体" w:hAnsi="宋体"/>
          <w:color w:val="auto"/>
          <w:szCs w:val="21"/>
        </w:rPr>
        <w:instrText xml:space="preserve"> </w:instrText>
      </w:r>
      <w:r>
        <w:rPr>
          <w:rFonts w:ascii="宋体" w:hAnsi="宋体"/>
          <w:color w:val="auto"/>
          <w:szCs w:val="21"/>
        </w:rPr>
        <w:fldChar w:fldCharType="separate"/>
      </w:r>
      <w:r>
        <w:rPr>
          <w:rFonts w:hint="eastAsia" w:ascii="宋体" w:hAnsi="宋体"/>
          <w:color w:val="auto"/>
          <w:szCs w:val="21"/>
        </w:rPr>
        <w:t>①</w:t>
      </w:r>
      <w:r>
        <w:rPr>
          <w:rFonts w:ascii="宋体" w:hAnsi="宋体"/>
          <w:color w:val="auto"/>
          <w:szCs w:val="21"/>
        </w:rPr>
        <w:fldChar w:fldCharType="end"/>
      </w:r>
      <w:r>
        <w:rPr>
          <w:rFonts w:hint="eastAsia" w:ascii="宋体" w:hAnsi="宋体"/>
          <w:color w:val="auto"/>
          <w:szCs w:val="21"/>
        </w:rPr>
        <w:t xml:space="preserve"> 符合中小企业划分标准； </w:t>
      </w:r>
      <w:r>
        <w:rPr>
          <w:rFonts w:ascii="宋体" w:hAnsi="宋体"/>
          <w:color w:val="auto"/>
          <w:szCs w:val="21"/>
        </w:rPr>
        <w:fldChar w:fldCharType="begin"/>
      </w:r>
      <w:r>
        <w:rPr>
          <w:rFonts w:ascii="宋体" w:hAnsi="宋体"/>
          <w:color w:val="auto"/>
          <w:szCs w:val="21"/>
        </w:rPr>
        <w:instrText xml:space="preserve"> </w:instrText>
      </w:r>
      <w:r>
        <w:rPr>
          <w:rFonts w:hint="eastAsia" w:ascii="宋体" w:hAnsi="宋体"/>
          <w:color w:val="auto"/>
          <w:szCs w:val="21"/>
        </w:rPr>
        <w:instrText xml:space="preserve">= 2 \* GB3</w:instrText>
      </w:r>
      <w:r>
        <w:rPr>
          <w:rFonts w:ascii="宋体" w:hAnsi="宋体"/>
          <w:color w:val="auto"/>
          <w:szCs w:val="21"/>
        </w:rPr>
        <w:instrText xml:space="preserve"> </w:instrText>
      </w:r>
      <w:r>
        <w:rPr>
          <w:rFonts w:ascii="宋体" w:hAnsi="宋体"/>
          <w:color w:val="auto"/>
          <w:szCs w:val="21"/>
        </w:rPr>
        <w:fldChar w:fldCharType="separate"/>
      </w:r>
      <w:r>
        <w:rPr>
          <w:rFonts w:hint="eastAsia" w:ascii="宋体" w:hAnsi="宋体"/>
          <w:color w:val="auto"/>
          <w:szCs w:val="21"/>
        </w:rPr>
        <w:t>②</w:t>
      </w:r>
      <w:r>
        <w:rPr>
          <w:rFonts w:ascii="宋体" w:hAnsi="宋体"/>
          <w:color w:val="auto"/>
          <w:szCs w:val="21"/>
        </w:rPr>
        <w:fldChar w:fldCharType="end"/>
      </w:r>
      <w:r>
        <w:rPr>
          <w:rFonts w:hint="eastAsia" w:ascii="宋体" w:hAnsi="宋体"/>
          <w:color w:val="auto"/>
          <w:szCs w:val="21"/>
        </w:rPr>
        <w:t xml:space="preserve"> 提供本企业制造的货物、承担的项目或者服务，或者提供其他中小企业制造的货物。本项所称货物不包括使用大型企业注册商标的货物。中小企业划分标准以《工业和信息化部、国家统计局、国家发展和改革委员会、财政部关于印发中小企业划型标准规定的通知》（工信部联企业[2011]300号）规定的划分标准为准。</w:t>
      </w:r>
    </w:p>
    <w:p>
      <w:pPr>
        <w:widowControl w:val="0"/>
        <w:snapToGrid w:val="0"/>
        <w:spacing w:line="360" w:lineRule="auto"/>
        <w:ind w:left="735" w:leftChars="150" w:hanging="420" w:hangingChars="200"/>
        <w:rPr>
          <w:rFonts w:ascii="宋体" w:hAnsi="宋体"/>
          <w:color w:val="auto"/>
          <w:szCs w:val="21"/>
        </w:rPr>
      </w:pPr>
      <w:r>
        <w:rPr>
          <w:rFonts w:hint="eastAsia" w:ascii="宋体" w:hAnsi="宋体"/>
          <w:color w:val="auto"/>
          <w:szCs w:val="21"/>
        </w:rPr>
        <w:t>3）参加政府采购活动的中小企业应当提供《中小企业声明函》（格式见第五部分报价文件格式）。</w:t>
      </w:r>
    </w:p>
    <w:p>
      <w:pPr>
        <w:widowControl w:val="0"/>
        <w:snapToGrid w:val="0"/>
        <w:spacing w:line="360" w:lineRule="auto"/>
        <w:ind w:left="735" w:leftChars="150" w:hanging="420" w:hangingChars="200"/>
        <w:rPr>
          <w:rFonts w:ascii="宋体" w:hAnsi="宋体"/>
          <w:color w:val="auto"/>
          <w:szCs w:val="21"/>
        </w:rPr>
      </w:pPr>
      <w:r>
        <w:rPr>
          <w:rFonts w:hint="eastAsia" w:ascii="宋体" w:hAnsi="宋体"/>
          <w:color w:val="auto"/>
          <w:szCs w:val="21"/>
        </w:rPr>
        <w:t>4）属于《中小型企业》的供应商必须提供由《工业和信息化部、国家统计局、国家发展和改革委员会、财政部》出具的证明文件并加盖公章为准，如不提供的评审时不能享受相应的价格扣除。</w:t>
      </w:r>
    </w:p>
    <w:p>
      <w:pPr>
        <w:widowControl w:val="0"/>
        <w:spacing w:line="480" w:lineRule="exact"/>
        <w:jc w:val="both"/>
        <w:rPr>
          <w:rFonts w:ascii="宋体" w:hAnsi="宋体"/>
          <w:color w:val="auto"/>
          <w:szCs w:val="21"/>
        </w:rPr>
      </w:pPr>
      <w:r>
        <w:rPr>
          <w:rFonts w:hint="eastAsia" w:ascii="宋体" w:hAnsi="宋体"/>
          <w:color w:val="auto"/>
          <w:szCs w:val="21"/>
        </w:rPr>
        <w:t xml:space="preserve">   5）参加政府采购活动的中小企业应当提供《中小企业声明函》（格式见第五部分报价文件格式）。</w:t>
      </w:r>
      <w:r>
        <w:rPr>
          <w:rFonts w:hint="eastAsia" w:ascii="宋体" w:hAnsi="宋体"/>
          <w:color w:val="auto"/>
          <w:szCs w:val="21"/>
        </w:rPr>
        <w:t xml:space="preserve">   </w:t>
      </w:r>
    </w:p>
    <w:p>
      <w:pPr>
        <w:widowControl w:val="0"/>
        <w:spacing w:line="480" w:lineRule="exact"/>
        <w:jc w:val="both"/>
        <w:rPr>
          <w:rFonts w:ascii="宋体" w:hAnsi="宋体"/>
          <w:color w:val="auto"/>
          <w:szCs w:val="21"/>
        </w:rPr>
      </w:pPr>
      <w:r>
        <w:rPr>
          <w:rFonts w:hint="eastAsia" w:ascii="宋体" w:hAnsi="宋体"/>
          <w:color w:val="auto"/>
          <w:szCs w:val="21"/>
        </w:rPr>
        <w:t xml:space="preserve">   6） 监狱企业视同小型、微型企业，享受评审中价格扣除。 </w:t>
      </w:r>
    </w:p>
    <w:p>
      <w:pPr>
        <w:widowControl w:val="0"/>
        <w:spacing w:line="480" w:lineRule="exact"/>
        <w:jc w:val="both"/>
        <w:rPr>
          <w:rFonts w:ascii="宋体" w:hAnsi="宋体"/>
          <w:color w:val="auto"/>
          <w:szCs w:val="21"/>
        </w:rPr>
      </w:pPr>
      <w:r>
        <w:rPr>
          <w:rFonts w:hint="eastAsia" w:ascii="宋体" w:hAnsi="宋体"/>
          <w:color w:val="auto"/>
          <w:szCs w:val="21"/>
        </w:rPr>
        <w:t xml:space="preserve">   7） 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 </w:t>
      </w:r>
    </w:p>
    <w:p>
      <w:pPr>
        <w:tabs>
          <w:tab w:val="left" w:pos="180"/>
          <w:tab w:val="left" w:pos="720"/>
          <w:tab w:val="left" w:pos="900"/>
          <w:tab w:val="left" w:pos="1080"/>
        </w:tabs>
        <w:spacing w:line="480" w:lineRule="exact"/>
        <w:jc w:val="both"/>
        <w:rPr>
          <w:rFonts w:ascii="宋体" w:hAnsi="宋体"/>
          <w:color w:val="auto"/>
          <w:szCs w:val="21"/>
        </w:rPr>
      </w:pPr>
      <w:r>
        <w:rPr>
          <w:rFonts w:hint="eastAsia" w:ascii="宋体" w:hAnsi="宋体"/>
          <w:color w:val="auto"/>
          <w:szCs w:val="21"/>
        </w:rPr>
        <w:t xml:space="preserve">   8） 监狱企业参加政府采购活动时，应当提供由省级以上监狱管理局、戒毒管理局（含新疆生产建设兵团）出具的属于监狱企业的证明文件，否则不予认可。 </w:t>
      </w:r>
    </w:p>
    <w:p>
      <w:pPr>
        <w:tabs>
          <w:tab w:val="left" w:pos="180"/>
          <w:tab w:val="left" w:pos="720"/>
          <w:tab w:val="left" w:pos="900"/>
          <w:tab w:val="left" w:pos="1080"/>
        </w:tabs>
        <w:spacing w:line="480" w:lineRule="exact"/>
        <w:jc w:val="both"/>
        <w:rPr>
          <w:rFonts w:ascii="宋体" w:hAnsi="宋体"/>
          <w:color w:val="auto"/>
          <w:szCs w:val="21"/>
        </w:rPr>
      </w:pPr>
      <w:r>
        <w:rPr>
          <w:rFonts w:hint="eastAsia" w:ascii="宋体" w:hAnsi="宋体"/>
          <w:color w:val="auto"/>
          <w:szCs w:val="21"/>
        </w:rPr>
        <w:t xml:space="preserve">   9） 报价人同时为小型、微型企业和监狱企业的，评审中只享受一次价格扣除。不重复进行价格扣除</w:t>
      </w:r>
      <w:r>
        <w:rPr>
          <w:rFonts w:hint="eastAsia" w:ascii="宋体" w:hAnsi="宋体"/>
          <w:color w:val="auto"/>
          <w:szCs w:val="21"/>
          <w:lang w:eastAsia="zh-CN"/>
        </w:rPr>
        <w:t>。</w:t>
      </w:r>
    </w:p>
    <w:p>
      <w:pPr>
        <w:snapToGrid w:val="0"/>
        <w:spacing w:before="60" w:line="360" w:lineRule="auto"/>
        <w:rPr>
          <w:rFonts w:ascii="宋体" w:hAnsi="宋体"/>
          <w:color w:val="auto"/>
        </w:rPr>
      </w:pPr>
      <w:r>
        <w:rPr>
          <w:rFonts w:hint="eastAsia" w:ascii="宋体" w:hAnsi="宋体"/>
          <w:color w:val="auto"/>
        </w:rPr>
        <w:t>（5）  服务商务及价格权重分配</w:t>
      </w:r>
    </w:p>
    <w:tbl>
      <w:tblPr>
        <w:tblStyle w:val="30"/>
        <w:tblW w:w="6920"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768"/>
        <w:gridCol w:w="4152"/>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89" w:hRule="atLeast"/>
          <w:jc w:val="center"/>
        </w:trPr>
        <w:tc>
          <w:tcPr>
            <w:tcW w:w="2768" w:type="dxa"/>
            <w:vAlign w:val="center"/>
          </w:tcPr>
          <w:p>
            <w:pPr>
              <w:spacing w:line="480" w:lineRule="exact"/>
              <w:jc w:val="center"/>
              <w:rPr>
                <w:color w:val="auto"/>
              </w:rPr>
            </w:pPr>
            <w:r>
              <w:rPr>
                <w:rFonts w:hint="eastAsia" w:ascii="宋体" w:hAnsi="宋体"/>
                <w:color w:val="auto"/>
              </w:rPr>
              <w:t>评分项目</w:t>
            </w:r>
          </w:p>
        </w:tc>
        <w:tc>
          <w:tcPr>
            <w:tcW w:w="4152" w:type="dxa"/>
            <w:vAlign w:val="center"/>
          </w:tcPr>
          <w:p>
            <w:pPr>
              <w:spacing w:line="480" w:lineRule="exact"/>
              <w:jc w:val="center"/>
              <w:rPr>
                <w:color w:val="auto"/>
              </w:rPr>
            </w:pPr>
            <w:r>
              <w:rPr>
                <w:rFonts w:hint="eastAsia" w:ascii="宋体" w:hAnsi="宋体"/>
                <w:color w:val="auto"/>
                <w:lang w:val="en-US" w:eastAsia="zh-CN"/>
              </w:rPr>
              <w:t>服务</w:t>
            </w:r>
            <w:r>
              <w:rPr>
                <w:rFonts w:hint="eastAsia" w:ascii="宋体" w:hAnsi="宋体"/>
                <w:color w:val="auto"/>
              </w:rPr>
              <w:t>商务评分</w:t>
            </w:r>
            <w:r>
              <w:rPr>
                <w:rFonts w:hint="eastAsia" w:ascii="宋体" w:hAnsi="宋体"/>
                <w:color w:val="auto"/>
                <w:lang w:eastAsia="zh-CN"/>
              </w:rPr>
              <w:t>（</w:t>
            </w:r>
            <w:r>
              <w:rPr>
                <w:rFonts w:hint="eastAsia" w:ascii="宋体" w:hAnsi="宋体"/>
                <w:color w:val="auto"/>
                <w:lang w:val="en-US" w:eastAsia="zh-CN"/>
              </w:rPr>
              <w:t>F1</w:t>
            </w:r>
            <w:r>
              <w:rPr>
                <w:rFonts w:hint="eastAsia" w:ascii="宋体" w:hAnsi="宋体"/>
                <w:color w:val="auto"/>
                <w:lang w:eastAsia="zh-CN"/>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03" w:hRule="atLeast"/>
          <w:jc w:val="center"/>
        </w:trPr>
        <w:tc>
          <w:tcPr>
            <w:tcW w:w="2768" w:type="dxa"/>
            <w:vAlign w:val="center"/>
          </w:tcPr>
          <w:p>
            <w:pPr>
              <w:spacing w:line="480" w:lineRule="exact"/>
              <w:jc w:val="center"/>
              <w:rPr>
                <w:color w:val="auto"/>
              </w:rPr>
            </w:pPr>
            <w:r>
              <w:rPr>
                <w:rFonts w:hint="eastAsia" w:ascii="宋体" w:hAnsi="宋体"/>
                <w:color w:val="auto"/>
              </w:rPr>
              <w:t>权</w:t>
            </w:r>
            <w:r>
              <w:rPr>
                <w:rFonts w:ascii="宋体" w:hAnsi="宋体"/>
                <w:color w:val="auto"/>
              </w:rPr>
              <w:t xml:space="preserve">    </w:t>
            </w:r>
            <w:r>
              <w:rPr>
                <w:rFonts w:hint="eastAsia" w:ascii="宋体" w:hAnsi="宋体"/>
                <w:color w:val="auto"/>
              </w:rPr>
              <w:t>重</w:t>
            </w:r>
          </w:p>
        </w:tc>
        <w:tc>
          <w:tcPr>
            <w:tcW w:w="4152" w:type="dxa"/>
            <w:vAlign w:val="center"/>
          </w:tcPr>
          <w:p>
            <w:pPr>
              <w:spacing w:line="480" w:lineRule="exact"/>
              <w:jc w:val="center"/>
              <w:rPr>
                <w:rFonts w:hint="eastAsia"/>
                <w:color w:val="auto"/>
              </w:rPr>
            </w:pPr>
            <w:r>
              <w:rPr>
                <w:rFonts w:hint="eastAsia"/>
                <w:color w:val="auto"/>
                <w:lang w:val="en-US" w:eastAsia="zh-CN"/>
              </w:rPr>
              <w:t>100</w:t>
            </w:r>
            <w:r>
              <w:rPr>
                <w:rFonts w:hint="eastAsia"/>
                <w:color w:val="auto"/>
              </w:rPr>
              <w:t>%</w:t>
            </w:r>
          </w:p>
        </w:tc>
      </w:tr>
    </w:tbl>
    <w:p>
      <w:pPr>
        <w:widowControl w:val="0"/>
        <w:tabs>
          <w:tab w:val="left" w:pos="540"/>
        </w:tabs>
        <w:spacing w:before="120" w:beforeLines="0" w:line="480" w:lineRule="auto"/>
        <w:ind w:firstLine="210" w:firstLineChars="100"/>
        <w:jc w:val="both"/>
        <w:rPr>
          <w:rFonts w:hint="eastAsia" w:ascii="宋体"/>
          <w:color w:val="auto"/>
        </w:rPr>
      </w:pPr>
      <w:r>
        <w:rPr>
          <w:rFonts w:hint="eastAsia" w:ascii="宋体"/>
          <w:color w:val="auto"/>
        </w:rPr>
        <w:t>评标总得分=F1</w:t>
      </w:r>
    </w:p>
    <w:p>
      <w:pPr>
        <w:snapToGrid w:val="0"/>
        <w:spacing w:before="60" w:line="360" w:lineRule="auto"/>
        <w:ind w:firstLine="210" w:firstLineChars="100"/>
        <w:rPr>
          <w:color w:val="auto"/>
        </w:rPr>
      </w:pPr>
      <w:r>
        <w:rPr>
          <w:rFonts w:hint="eastAsia" w:ascii="宋体"/>
          <w:color w:val="auto"/>
        </w:rPr>
        <w:t>F1为</w:t>
      </w:r>
      <w:r>
        <w:rPr>
          <w:rFonts w:hint="eastAsia" w:ascii="宋体" w:hAnsi="宋体"/>
          <w:color w:val="auto"/>
          <w:lang w:val="en-US" w:eastAsia="zh-CN"/>
        </w:rPr>
        <w:t>服务</w:t>
      </w:r>
      <w:r>
        <w:rPr>
          <w:rFonts w:hint="eastAsia" w:ascii="宋体" w:hAnsi="宋体"/>
          <w:color w:val="auto"/>
        </w:rPr>
        <w:t>商务得分</w:t>
      </w:r>
    </w:p>
    <w:p>
      <w:pPr>
        <w:tabs>
          <w:tab w:val="left" w:pos="720"/>
          <w:tab w:val="left" w:pos="4013"/>
        </w:tabs>
        <w:snapToGrid w:val="0"/>
        <w:spacing w:before="60" w:line="360" w:lineRule="auto"/>
        <w:ind w:left="540" w:hanging="539" w:hangingChars="257"/>
        <w:rPr>
          <w:rFonts w:ascii="宋体" w:hAnsi="宋体"/>
          <w:color w:val="auto"/>
          <w:szCs w:val="21"/>
        </w:rPr>
      </w:pPr>
      <w:r>
        <w:rPr>
          <w:rFonts w:hint="eastAsia" w:ascii="宋体" w:hAnsi="宋体"/>
          <w:color w:val="auto"/>
          <w:szCs w:val="21"/>
        </w:rPr>
        <w:t>4.3</w:t>
      </w:r>
      <w:r>
        <w:rPr>
          <w:rFonts w:hint="eastAsia" w:ascii="宋体" w:hAnsi="宋体"/>
          <w:color w:val="auto"/>
          <w:szCs w:val="21"/>
        </w:rPr>
        <w:tab/>
      </w:r>
      <w:r>
        <w:rPr>
          <w:rFonts w:hint="eastAsia" w:ascii="宋体" w:hAnsi="宋体"/>
          <w:color w:val="auto"/>
          <w:szCs w:val="21"/>
        </w:rPr>
        <w:t>推荐成交报价人</w:t>
      </w:r>
    </w:p>
    <w:p>
      <w:pPr>
        <w:tabs>
          <w:tab w:val="left" w:pos="720"/>
          <w:tab w:val="left" w:pos="4013"/>
        </w:tabs>
        <w:snapToGrid w:val="0"/>
        <w:spacing w:before="60" w:line="360" w:lineRule="auto"/>
        <w:ind w:left="539" w:leftChars="250" w:hanging="14" w:hangingChars="7"/>
        <w:rPr>
          <w:rFonts w:ascii="宋体" w:hAnsi="宋体"/>
          <w:color w:val="auto"/>
          <w:szCs w:val="21"/>
        </w:rPr>
      </w:pPr>
      <w:r>
        <w:rPr>
          <w:rFonts w:hint="eastAsia" w:ascii="宋体" w:hAnsi="宋体"/>
          <w:color w:val="auto"/>
          <w:szCs w:val="21"/>
        </w:rPr>
        <w:t>磋商小组按综合得分由高到低顺序排列推荐</w:t>
      </w:r>
      <w:r>
        <w:rPr>
          <w:rFonts w:hint="eastAsia" w:ascii="Tahoma" w:hAnsi="Tahoma" w:cs="Tahoma"/>
          <w:color w:val="auto"/>
          <w:szCs w:val="21"/>
        </w:rPr>
        <w:t>成交候选人，</w:t>
      </w:r>
      <w:r>
        <w:rPr>
          <w:rFonts w:hint="eastAsia" w:ascii="宋体"/>
          <w:color w:val="auto"/>
        </w:rPr>
        <w:t>综合得分相同的，</w:t>
      </w:r>
      <w:r>
        <w:rPr>
          <w:rFonts w:hint="eastAsia" w:hAnsi="宋体"/>
          <w:color w:val="auto"/>
        </w:rPr>
        <w:t>按下列顺序比较确定：（1）</w:t>
      </w:r>
      <w:r>
        <w:rPr>
          <w:rFonts w:hint="eastAsia" w:ascii="宋体" w:hAnsi="宋体"/>
          <w:color w:val="auto"/>
        </w:rPr>
        <w:t>小型或微型企业；</w:t>
      </w:r>
      <w:r>
        <w:rPr>
          <w:rFonts w:hint="eastAsia" w:hAnsi="宋体"/>
          <w:color w:val="auto"/>
        </w:rPr>
        <w:t>（2）节能产品；（3）环保产品；（4）服务评分（由高到低）。</w:t>
      </w:r>
      <w:r>
        <w:rPr>
          <w:rFonts w:hint="eastAsia" w:ascii="宋体"/>
          <w:color w:val="auto"/>
        </w:rPr>
        <w:t>综合得分最高的报价人为第一中标候选供应商，综合得分次高的报价人为第二中标候选供应商。</w:t>
      </w:r>
    </w:p>
    <w:p>
      <w:pPr>
        <w:snapToGrid w:val="0"/>
        <w:spacing w:before="60" w:line="360" w:lineRule="auto"/>
        <w:ind w:left="540" w:hanging="539" w:hangingChars="257"/>
        <w:rPr>
          <w:rFonts w:ascii="宋体" w:hAnsi="宋体" w:cs="Arial"/>
          <w:color w:val="auto"/>
          <w:szCs w:val="21"/>
        </w:rPr>
      </w:pPr>
      <w:r>
        <w:rPr>
          <w:rFonts w:hint="eastAsia" w:ascii="宋体" w:hAnsi="宋体" w:cs="Arial"/>
          <w:color w:val="auto"/>
          <w:szCs w:val="21"/>
        </w:rPr>
        <w:t>4.4</w:t>
      </w:r>
      <w:r>
        <w:rPr>
          <w:rFonts w:hint="eastAsia" w:ascii="宋体" w:hAnsi="宋体" w:cs="Arial"/>
          <w:color w:val="auto"/>
          <w:szCs w:val="21"/>
        </w:rPr>
        <w:tab/>
      </w:r>
      <w:r>
        <w:rPr>
          <w:rFonts w:ascii="宋体" w:hAnsi="宋体" w:cs="Arial"/>
          <w:color w:val="auto"/>
          <w:szCs w:val="21"/>
        </w:rPr>
        <w:t>评审报告</w:t>
      </w:r>
    </w:p>
    <w:p>
      <w:pPr>
        <w:snapToGrid w:val="0"/>
        <w:spacing w:before="60" w:line="360" w:lineRule="auto"/>
        <w:ind w:left="540" w:leftChars="257"/>
        <w:rPr>
          <w:rFonts w:ascii="宋体" w:hAnsi="宋体" w:cs="Arial"/>
          <w:color w:val="auto"/>
          <w:szCs w:val="21"/>
        </w:rPr>
      </w:pPr>
      <w:r>
        <w:rPr>
          <w:rFonts w:ascii="宋体" w:hAnsi="宋体" w:cs="Arial"/>
          <w:color w:val="auto"/>
          <w:szCs w:val="21"/>
        </w:rPr>
        <w:t>磋商小组依据评审结果出具评审报告。</w:t>
      </w:r>
    </w:p>
    <w:p>
      <w:pPr>
        <w:tabs>
          <w:tab w:val="left" w:pos="540"/>
        </w:tabs>
        <w:snapToGrid w:val="0"/>
        <w:spacing w:before="60" w:line="360" w:lineRule="auto"/>
        <w:rPr>
          <w:rFonts w:ascii="宋体" w:hAnsi="宋体" w:cs="Arial"/>
          <w:color w:val="auto"/>
          <w:szCs w:val="21"/>
        </w:rPr>
      </w:pPr>
      <w:r>
        <w:rPr>
          <w:rFonts w:hint="eastAsia" w:ascii="宋体" w:hAnsi="宋体" w:cs="Arial"/>
          <w:color w:val="auto"/>
          <w:szCs w:val="21"/>
        </w:rPr>
        <w:t>4.5</w:t>
      </w:r>
      <w:r>
        <w:rPr>
          <w:rFonts w:hint="eastAsia" w:ascii="宋体" w:hAnsi="宋体" w:cs="Arial"/>
          <w:color w:val="auto"/>
          <w:szCs w:val="21"/>
        </w:rPr>
        <w:tab/>
      </w:r>
      <w:r>
        <w:rPr>
          <w:rFonts w:ascii="宋体" w:hAnsi="宋体" w:cs="Arial"/>
          <w:color w:val="auto"/>
          <w:szCs w:val="21"/>
        </w:rPr>
        <w:t>磋商、评审过程的保密性。</w:t>
      </w:r>
    </w:p>
    <w:p>
      <w:pPr>
        <w:widowControl w:val="0"/>
        <w:numPr>
          <w:ilvl w:val="0"/>
          <w:numId w:val="12"/>
        </w:numPr>
        <w:tabs>
          <w:tab w:val="left" w:pos="540"/>
          <w:tab w:val="clear" w:pos="481"/>
        </w:tabs>
        <w:snapToGrid w:val="0"/>
        <w:spacing w:before="60" w:line="360" w:lineRule="auto"/>
        <w:ind w:left="540" w:hanging="540"/>
        <w:jc w:val="both"/>
        <w:rPr>
          <w:rFonts w:ascii="宋体" w:hAnsi="宋体" w:cs="Arial"/>
          <w:color w:val="auto"/>
          <w:szCs w:val="21"/>
        </w:rPr>
      </w:pPr>
      <w:r>
        <w:rPr>
          <w:rFonts w:ascii="宋体" w:hAnsi="宋体" w:cs="Arial"/>
          <w:color w:val="auto"/>
          <w:szCs w:val="21"/>
        </w:rPr>
        <w:t>接受报价后，直至成交报价人与买方签订合同后止，凡与磋商、审查、澄清、评价、比较、确定成交人意见有关的内容，任何人均不得向报价人及与磋商评审无关的其他人透露。</w:t>
      </w:r>
    </w:p>
    <w:p>
      <w:pPr>
        <w:widowControl w:val="0"/>
        <w:numPr>
          <w:ilvl w:val="0"/>
          <w:numId w:val="12"/>
        </w:numPr>
        <w:tabs>
          <w:tab w:val="left" w:pos="540"/>
          <w:tab w:val="clear" w:pos="481"/>
        </w:tabs>
        <w:snapToGrid w:val="0"/>
        <w:spacing w:before="60" w:line="360" w:lineRule="auto"/>
        <w:ind w:left="540" w:hanging="540"/>
        <w:jc w:val="both"/>
        <w:rPr>
          <w:rFonts w:ascii="宋体" w:hAnsi="宋体" w:cs="Arial"/>
          <w:color w:val="auto"/>
          <w:szCs w:val="21"/>
        </w:rPr>
      </w:pPr>
      <w:r>
        <w:rPr>
          <w:rFonts w:ascii="宋体" w:hAnsi="宋体" w:cs="Arial"/>
          <w:color w:val="auto"/>
          <w:szCs w:val="21"/>
        </w:rPr>
        <w:t>从报价递交截止时间起到确定成交报价人日止，报价人不得与参加磋商、评审的有关人员私下接触。在磋商评审过程中，如果报价人试图在报价文件审查、澄清、比较及推荐成交报价人方面向参与磋商评审的有关人员和采购人施加任何影响，其报价将被拒绝。</w:t>
      </w:r>
    </w:p>
    <w:p>
      <w:pPr>
        <w:snapToGrid w:val="0"/>
        <w:spacing w:before="60" w:line="360" w:lineRule="auto"/>
        <w:ind w:left="540" w:right="-105" w:rightChars="-50" w:hanging="539" w:hangingChars="257"/>
        <w:rPr>
          <w:rFonts w:ascii="宋体" w:hAnsi="宋体" w:cs="Arial"/>
          <w:color w:val="auto"/>
          <w:szCs w:val="21"/>
        </w:rPr>
      </w:pPr>
      <w:r>
        <w:rPr>
          <w:rFonts w:hint="eastAsia" w:ascii="宋体" w:hAnsi="宋体" w:cs="Arial"/>
          <w:color w:val="auto"/>
          <w:szCs w:val="21"/>
        </w:rPr>
        <w:t>4.6</w:t>
      </w:r>
      <w:r>
        <w:rPr>
          <w:rFonts w:hint="eastAsia" w:ascii="宋体" w:hAnsi="宋体" w:cs="Arial"/>
          <w:color w:val="auto"/>
          <w:szCs w:val="21"/>
        </w:rPr>
        <w:tab/>
      </w:r>
      <w:r>
        <w:rPr>
          <w:rFonts w:ascii="宋体" w:hAnsi="宋体" w:cs="Arial"/>
          <w:color w:val="auto"/>
          <w:szCs w:val="21"/>
        </w:rPr>
        <w:t>接受和拒绝任何或所有报价的权利。</w:t>
      </w:r>
    </w:p>
    <w:p>
      <w:pPr>
        <w:widowControl w:val="0"/>
        <w:snapToGrid w:val="0"/>
        <w:spacing w:before="60" w:line="360" w:lineRule="auto"/>
        <w:ind w:left="525" w:leftChars="250"/>
        <w:jc w:val="both"/>
        <w:rPr>
          <w:rFonts w:ascii="宋体" w:hAnsi="宋体" w:cs="Arial"/>
          <w:color w:val="auto"/>
          <w:szCs w:val="21"/>
        </w:rPr>
      </w:pPr>
      <w:r>
        <w:rPr>
          <w:rFonts w:hint="eastAsia" w:ascii="宋体" w:hAnsi="宋体" w:cs="Arial"/>
          <w:color w:val="auto"/>
          <w:szCs w:val="21"/>
        </w:rPr>
        <w:t>代理</w:t>
      </w:r>
      <w:r>
        <w:rPr>
          <w:rFonts w:ascii="宋体" w:hAnsi="宋体" w:cs="Arial"/>
          <w:color w:val="auto"/>
          <w:szCs w:val="21"/>
        </w:rPr>
        <w:t>采购机构和采购人保留在成交之前任何时候接受或拒绝任何报价，以及宣布竞争性磋商无效或拒绝所有报价的权力，对受影响的报价人不承担任何责任。</w:t>
      </w:r>
    </w:p>
    <w:p>
      <w:pPr>
        <w:snapToGrid w:val="0"/>
        <w:spacing w:before="60" w:line="360" w:lineRule="auto"/>
        <w:ind w:left="540" w:right="-105" w:rightChars="-50" w:hanging="539" w:hangingChars="257"/>
        <w:rPr>
          <w:rFonts w:ascii="宋体" w:hAnsi="宋体" w:cs="Arial"/>
          <w:color w:val="auto"/>
          <w:szCs w:val="21"/>
        </w:rPr>
      </w:pPr>
      <w:r>
        <w:rPr>
          <w:rFonts w:hint="eastAsia" w:ascii="宋体" w:hAnsi="宋体" w:cs="Arial"/>
          <w:color w:val="auto"/>
          <w:szCs w:val="21"/>
        </w:rPr>
        <w:t>4.7</w:t>
      </w:r>
      <w:r>
        <w:rPr>
          <w:rFonts w:hint="eastAsia" w:ascii="宋体" w:hAnsi="宋体" w:cs="Arial"/>
          <w:color w:val="auto"/>
          <w:szCs w:val="21"/>
        </w:rPr>
        <w:tab/>
      </w:r>
      <w:r>
        <w:rPr>
          <w:rFonts w:ascii="宋体" w:hAnsi="宋体" w:cs="Arial"/>
          <w:color w:val="auto"/>
          <w:szCs w:val="21"/>
        </w:rPr>
        <w:t>变更</w:t>
      </w:r>
      <w:r>
        <w:rPr>
          <w:rFonts w:hint="eastAsia" w:ascii="宋体" w:hAnsi="宋体" w:cs="Arial"/>
          <w:color w:val="auto"/>
          <w:szCs w:val="21"/>
        </w:rPr>
        <w:t>服务</w:t>
      </w:r>
      <w:r>
        <w:rPr>
          <w:rFonts w:ascii="宋体" w:hAnsi="宋体" w:cs="Arial"/>
          <w:color w:val="auto"/>
          <w:szCs w:val="21"/>
        </w:rPr>
        <w:t>方案的权利。</w:t>
      </w:r>
    </w:p>
    <w:p>
      <w:pPr>
        <w:widowControl w:val="0"/>
        <w:snapToGrid w:val="0"/>
        <w:spacing w:before="60" w:line="360" w:lineRule="auto"/>
        <w:ind w:left="525" w:leftChars="250"/>
        <w:jc w:val="both"/>
        <w:rPr>
          <w:rFonts w:ascii="宋体" w:hAnsi="宋体" w:cs="Arial"/>
          <w:color w:val="auto"/>
          <w:szCs w:val="21"/>
        </w:rPr>
      </w:pPr>
      <w:r>
        <w:rPr>
          <w:rFonts w:ascii="宋体" w:hAnsi="宋体" w:cs="Arial"/>
          <w:color w:val="auto"/>
          <w:szCs w:val="21"/>
        </w:rPr>
        <w:t>在竞争性磋商过程中，采购人有权变更</w:t>
      </w:r>
      <w:r>
        <w:rPr>
          <w:rFonts w:hint="eastAsia" w:ascii="宋体" w:hAnsi="宋体" w:cs="Arial"/>
          <w:color w:val="auto"/>
          <w:szCs w:val="21"/>
        </w:rPr>
        <w:t>服务</w:t>
      </w:r>
      <w:r>
        <w:rPr>
          <w:rFonts w:ascii="宋体" w:hAnsi="宋体" w:cs="Arial"/>
          <w:color w:val="auto"/>
          <w:szCs w:val="21"/>
        </w:rPr>
        <w:t>方案或采购数量，如果报价人根据采购人提出的变更要求调整方案后未能获得合同，采购人和采购代理机构不承担任何责任。</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五、成交报价人及成交服务费</w:t>
      </w:r>
      <w:bookmarkEnd w:id="7"/>
    </w:p>
    <w:p>
      <w:pPr>
        <w:tabs>
          <w:tab w:val="left" w:pos="735"/>
        </w:tabs>
        <w:snapToGrid w:val="0"/>
        <w:spacing w:before="60" w:line="360" w:lineRule="auto"/>
        <w:ind w:left="420" w:right="420" w:rightChars="200" w:hanging="420" w:hangingChars="200"/>
        <w:rPr>
          <w:rFonts w:ascii="宋体" w:hAnsi="宋体"/>
          <w:color w:val="auto"/>
          <w:szCs w:val="21"/>
        </w:rPr>
      </w:pPr>
      <w:r>
        <w:rPr>
          <w:rFonts w:hint="eastAsia" w:ascii="宋体" w:hAnsi="宋体"/>
          <w:color w:val="auto"/>
          <w:szCs w:val="21"/>
        </w:rPr>
        <w:t>5.1   成交报价人的确定</w:t>
      </w:r>
    </w:p>
    <w:p>
      <w:pPr>
        <w:snapToGrid w:val="0"/>
        <w:spacing w:before="60" w:line="360" w:lineRule="auto"/>
        <w:ind w:left="537" w:leftChars="-1" w:right="420" w:rightChars="200" w:hanging="539" w:hangingChars="257"/>
        <w:rPr>
          <w:rFonts w:ascii="宋体" w:hAnsi="宋体"/>
          <w:color w:val="auto"/>
          <w:szCs w:val="21"/>
        </w:rPr>
      </w:pPr>
      <w:r>
        <w:rPr>
          <w:rFonts w:hint="eastAsia" w:ascii="宋体" w:hAnsi="宋体"/>
          <w:color w:val="auto"/>
          <w:szCs w:val="21"/>
        </w:rPr>
        <w:t>（1） 根据磋商小组评审结果，采购人依法确定成交报价人。</w:t>
      </w:r>
    </w:p>
    <w:p>
      <w:pPr>
        <w:tabs>
          <w:tab w:val="left" w:pos="735"/>
        </w:tabs>
        <w:snapToGrid w:val="0"/>
        <w:spacing w:before="60" w:line="360" w:lineRule="auto"/>
        <w:ind w:left="420" w:right="420" w:rightChars="200" w:hanging="420" w:hangingChars="200"/>
        <w:rPr>
          <w:rFonts w:ascii="宋体" w:hAnsi="宋体"/>
          <w:color w:val="auto"/>
          <w:szCs w:val="21"/>
        </w:rPr>
      </w:pPr>
      <w:r>
        <w:rPr>
          <w:rFonts w:hint="eastAsia" w:ascii="宋体" w:hAnsi="宋体"/>
          <w:color w:val="auto"/>
          <w:szCs w:val="21"/>
        </w:rPr>
        <w:t>5.2   成交结果公告</w:t>
      </w:r>
    </w:p>
    <w:p>
      <w:pPr>
        <w:snapToGrid w:val="0"/>
        <w:spacing w:before="60" w:line="360" w:lineRule="auto"/>
        <w:ind w:left="567" w:right="31" w:rightChars="15" w:hanging="567" w:hangingChars="270"/>
        <w:rPr>
          <w:rFonts w:ascii="宋体" w:hAnsi="宋体"/>
          <w:color w:val="auto"/>
          <w:szCs w:val="21"/>
        </w:rPr>
      </w:pPr>
      <w:r>
        <w:rPr>
          <w:rFonts w:hint="eastAsia" w:ascii="宋体" w:hAnsi="宋体"/>
          <w:color w:val="auto"/>
          <w:szCs w:val="21"/>
        </w:rPr>
        <w:t>（1） 采购代理机构将在</w:t>
      </w:r>
      <w:r>
        <w:rPr>
          <w:rFonts w:hint="eastAsia" w:ascii="宋体" w:hAnsi="宋体"/>
          <w:color w:val="auto"/>
        </w:rPr>
        <w:t>①</w:t>
      </w:r>
      <w:r>
        <w:rPr>
          <w:rFonts w:hint="eastAsia"/>
          <w:color w:val="auto"/>
          <w:lang w:val="en-US" w:eastAsia="zh-CN"/>
        </w:rPr>
        <w:t>中国</w:t>
      </w:r>
      <w:r>
        <w:rPr>
          <w:color w:val="auto"/>
        </w:rPr>
        <w:t>政府采购网（</w:t>
      </w:r>
      <w:r>
        <w:rPr>
          <w:rFonts w:hint="eastAsia"/>
          <w:color w:val="auto"/>
        </w:rPr>
        <w:t>http://www.ccgp.gov.cn</w:t>
      </w:r>
      <w:r>
        <w:rPr>
          <w:color w:val="auto"/>
        </w:rPr>
        <w:t>）</w:t>
      </w:r>
      <w:r>
        <w:rPr>
          <w:rFonts w:hint="eastAsia" w:ascii="宋体" w:hAnsi="宋体"/>
          <w:color w:val="auto"/>
        </w:rPr>
        <w:t>；</w:t>
      </w:r>
      <w:r>
        <w:rPr>
          <w:rFonts w:hint="eastAsia" w:ascii="宋体" w:hAnsi="宋体" w:cs="宋体"/>
          <w:color w:val="auto"/>
        </w:rPr>
        <w:t>②</w:t>
      </w:r>
      <w:r>
        <w:rPr>
          <w:rFonts w:ascii="宋体" w:hAnsi="宋体"/>
          <w:color w:val="auto"/>
        </w:rPr>
        <w:t>云浮市政府采购系统 (yunfu.gdgpo.com)；</w:t>
      </w:r>
      <w:r>
        <w:rPr>
          <w:rFonts w:hint="eastAsia" w:ascii="宋体" w:hAnsi="宋体" w:cs="宋体"/>
          <w:color w:val="auto"/>
        </w:rPr>
        <w:t>③</w:t>
      </w:r>
      <w:r>
        <w:rPr>
          <w:rFonts w:hint="eastAsia" w:ascii="宋体" w:hAnsi="宋体"/>
          <w:color w:val="auto"/>
        </w:rPr>
        <w:t>广东晓君招标采购代理有限公司</w:t>
      </w:r>
      <w:r>
        <w:rPr>
          <w:rFonts w:ascii="宋体" w:hAnsi="宋体"/>
          <w:color w:val="auto"/>
        </w:rPr>
        <w:t> (www.</w:t>
      </w:r>
      <w:r>
        <w:rPr>
          <w:rFonts w:hint="eastAsia" w:ascii="宋体" w:hAnsi="宋体"/>
          <w:color w:val="auto"/>
        </w:rPr>
        <w:t>gdxjzbdl</w:t>
      </w:r>
      <w:r>
        <w:rPr>
          <w:rFonts w:ascii="宋体" w:hAnsi="宋体"/>
          <w:color w:val="auto"/>
        </w:rPr>
        <w:t>.com)；</w:t>
      </w:r>
      <w:r>
        <w:rPr>
          <w:rFonts w:hint="eastAsia" w:ascii="宋体" w:hAnsi="宋体" w:cs="宋体"/>
          <w:color w:val="auto"/>
        </w:rPr>
        <w:t>④</w:t>
      </w:r>
      <w:r>
        <w:rPr>
          <w:rFonts w:ascii="宋体" w:hAnsi="宋体"/>
          <w:color w:val="auto"/>
        </w:rPr>
        <w:t>云浮市公共资源交易网（ggzy.yunfu.gov.cn）</w:t>
      </w:r>
      <w:r>
        <w:rPr>
          <w:rFonts w:hint="eastAsia" w:ascii="宋体" w:hAnsi="宋体"/>
          <w:color w:val="auto"/>
        </w:rPr>
        <w:t>(在以上媒体中指定媒体发布公示及公告)</w:t>
      </w:r>
      <w:r>
        <w:rPr>
          <w:rFonts w:hint="eastAsia" w:ascii="宋体" w:hAnsi="宋体"/>
          <w:color w:val="auto"/>
          <w:szCs w:val="21"/>
        </w:rPr>
        <w:t>公告内容包括磋商项目名称、成交报价人名单、采购人名称和电话。</w:t>
      </w:r>
    </w:p>
    <w:p>
      <w:pPr>
        <w:tabs>
          <w:tab w:val="left" w:pos="735"/>
        </w:tabs>
        <w:snapToGrid w:val="0"/>
        <w:spacing w:before="60" w:line="360" w:lineRule="auto"/>
        <w:ind w:left="420" w:right="420" w:rightChars="200" w:hanging="420" w:hangingChars="200"/>
        <w:rPr>
          <w:rFonts w:ascii="宋体" w:hAnsi="宋体"/>
          <w:color w:val="auto"/>
          <w:szCs w:val="21"/>
        </w:rPr>
      </w:pPr>
      <w:r>
        <w:rPr>
          <w:rFonts w:hint="eastAsia" w:ascii="宋体" w:hAnsi="宋体"/>
          <w:color w:val="auto"/>
          <w:szCs w:val="21"/>
        </w:rPr>
        <w:t>5.3   质疑和投诉</w:t>
      </w:r>
    </w:p>
    <w:p>
      <w:pPr>
        <w:tabs>
          <w:tab w:val="left" w:pos="735"/>
        </w:tabs>
        <w:snapToGrid w:val="0"/>
        <w:spacing w:before="60" w:line="360" w:lineRule="auto"/>
        <w:ind w:left="735" w:right="420" w:rightChars="200" w:hanging="735" w:hangingChars="350"/>
        <w:rPr>
          <w:rFonts w:ascii="宋体" w:hAnsi="宋体"/>
          <w:color w:val="auto"/>
          <w:szCs w:val="21"/>
        </w:rPr>
      </w:pPr>
      <w:r>
        <w:rPr>
          <w:rFonts w:hint="eastAsia" w:ascii="宋体" w:hAnsi="宋体"/>
          <w:color w:val="auto"/>
          <w:szCs w:val="21"/>
        </w:rPr>
        <w:t>（1）     供应商认为磋商文件、采购过程和中标结果使自己的权益受到损害的，可以在知道或者应当知道其权益受到损害之日起七个工作日内，现场以书面形式向采购人或政府采购代理机构提出质疑</w:t>
      </w:r>
      <w:r>
        <w:rPr>
          <w:rFonts w:ascii="宋体" w:hAnsi="宋体"/>
          <w:color w:val="auto"/>
          <w:szCs w:val="21"/>
        </w:rPr>
        <w:t>。</w:t>
      </w:r>
    </w:p>
    <w:p>
      <w:pPr>
        <w:tabs>
          <w:tab w:val="left" w:pos="735"/>
        </w:tabs>
        <w:snapToGrid w:val="0"/>
        <w:spacing w:before="60" w:line="360" w:lineRule="auto"/>
        <w:ind w:left="735" w:right="420" w:rightChars="200" w:hanging="735" w:hangingChars="350"/>
        <w:rPr>
          <w:rFonts w:ascii="宋体" w:hAnsi="宋体"/>
          <w:color w:val="auto"/>
        </w:rPr>
      </w:pPr>
      <w:r>
        <w:rPr>
          <w:rFonts w:hint="eastAsia" w:ascii="宋体" w:hAnsi="宋体"/>
          <w:color w:val="auto"/>
          <w:szCs w:val="21"/>
        </w:rPr>
        <w:t xml:space="preserve">（2）      </w:t>
      </w:r>
      <w:r>
        <w:rPr>
          <w:rFonts w:hint="eastAsia" w:ascii="宋体" w:hAnsi="宋体"/>
          <w:color w:val="auto"/>
        </w:rPr>
        <w:t>质疑书必须由报价人法定代表人签署本人姓名并加盖单位公章，质疑书由参加本采购项目的全权代表签署本人姓名，须附有法定代表人的授权委托书（授权委托书须载明委托的具体权限和事项），否则，政府采购代理机构将不予受理。</w:t>
      </w:r>
    </w:p>
    <w:p>
      <w:p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（3）      质疑人提交质疑书为一式五份（正本一份，副本四份），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否则，政府采购代理机构将不予受理。以邮寄、电话、传真和电子文件和电子邮件形式的质疑，政府采购代理机构将不作为受理的依据。</w:t>
      </w:r>
    </w:p>
    <w:p>
      <w:pPr>
        <w:tabs>
          <w:tab w:val="left" w:pos="735"/>
        </w:tabs>
        <w:snapToGrid w:val="0"/>
        <w:spacing w:before="60" w:line="360" w:lineRule="auto"/>
        <w:ind w:left="735" w:right="420" w:rightChars="200" w:hanging="735" w:hangingChars="350"/>
        <w:rPr>
          <w:rFonts w:hint="eastAsia" w:ascii="宋体" w:hAnsi="宋体"/>
          <w:color w:val="auto"/>
        </w:rPr>
      </w:pPr>
    </w:p>
    <w:p>
      <w:pPr>
        <w:numPr>
          <w:ilvl w:val="0"/>
          <w:numId w:val="13"/>
        </w:numPr>
        <w:tabs>
          <w:tab w:val="left" w:pos="735"/>
        </w:tabs>
        <w:snapToGrid w:val="0"/>
        <w:spacing w:before="60" w:line="360" w:lineRule="auto"/>
        <w:ind w:left="735" w:right="420" w:rightChars="200" w:hanging="735" w:hangingChars="350"/>
        <w:rPr>
          <w:rFonts w:hint="eastAsia" w:ascii="宋体" w:hAnsi="宋体"/>
          <w:color w:val="auto"/>
        </w:rPr>
      </w:pPr>
      <w:r>
        <w:rPr>
          <w:rFonts w:hint="eastAsia" w:ascii="宋体" w:hAnsi="宋体"/>
          <w:color w:val="auto"/>
        </w:rPr>
        <w:t xml:space="preserve"> </w:t>
      </w:r>
      <w:r>
        <w:rPr>
          <w:rFonts w:hint="eastAsia" w:ascii="宋体" w:hAnsi="宋体"/>
          <w:color w:val="auto"/>
          <w:lang w:val="en-US" w:eastAsia="zh-CN"/>
        </w:rPr>
        <w:t xml:space="preserve">    质疑文件提交方式：由自然人本人或法定代表人或者营业执照等注册登记证书上的负责人携带营业执照等注册登记证书原件、质疑函原件及身份证明原件到现场提交（自然人本人或法定代表人或者负责人不能到达现场的，可以委托他人到现场代交，但必须出具营业执照等注册登记证书原件、质疑函原件、法人资格证明书原件及授权委托书原件，明确委托事宜。同时被委托人须携带身份证明原件及合法有效的工作证明原件（指在委托人单位任职的第三方证明材料）），否则不予受理。</w:t>
      </w:r>
      <w:r>
        <w:rPr>
          <w:rFonts w:hint="eastAsia" w:ascii="宋体" w:hAnsi="宋体"/>
          <w:color w:val="auto"/>
        </w:rPr>
        <w:t xml:space="preserve">    </w:t>
      </w:r>
    </w:p>
    <w:p>
      <w:pPr>
        <w:numPr>
          <w:ilvl w:val="0"/>
          <w:numId w:val="13"/>
        </w:numPr>
        <w:tabs>
          <w:tab w:val="left" w:pos="735"/>
        </w:tabs>
        <w:snapToGrid w:val="0"/>
        <w:spacing w:before="60" w:line="360" w:lineRule="auto"/>
        <w:ind w:left="735" w:right="420" w:rightChars="200" w:hanging="735" w:hangingChars="350"/>
        <w:rPr>
          <w:rFonts w:ascii="宋体" w:hAnsi="宋体"/>
          <w:color w:val="auto"/>
        </w:rPr>
      </w:pPr>
      <w:r>
        <w:rPr>
          <w:rFonts w:hint="eastAsia" w:ascii="宋体" w:hAnsi="宋体"/>
          <w:color w:val="auto"/>
          <w:lang w:val="en-US" w:eastAsia="zh-CN"/>
        </w:rPr>
        <w:t xml:space="preserve">     </w:t>
      </w:r>
      <w:r>
        <w:rPr>
          <w:rFonts w:hint="eastAsia" w:ascii="宋体" w:hAnsi="宋体"/>
          <w:color w:val="auto"/>
        </w:rPr>
        <w:t>质疑处理根据“谁主张、谁举证”的原则，对于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tabs>
          <w:tab w:val="left" w:pos="735"/>
        </w:tabs>
        <w:snapToGrid w:val="0"/>
        <w:spacing w:before="60" w:line="360" w:lineRule="auto"/>
        <w:ind w:left="735" w:right="420" w:rightChars="200" w:hanging="735" w:hangingChars="350"/>
        <w:rPr>
          <w:rFonts w:ascii="宋体" w:hAnsi="宋体"/>
          <w:color w:val="auto"/>
        </w:rPr>
      </w:pPr>
      <w:r>
        <w:rPr>
          <w:rFonts w:hint="eastAsia" w:ascii="宋体" w:hAnsi="宋体"/>
          <w:color w:val="auto"/>
        </w:rPr>
        <w:t>（</w:t>
      </w:r>
      <w:r>
        <w:rPr>
          <w:rFonts w:hint="eastAsia" w:ascii="宋体" w:hAnsi="宋体"/>
          <w:color w:val="auto"/>
          <w:lang w:val="en-US" w:eastAsia="zh-CN"/>
        </w:rPr>
        <w:t>6</w:t>
      </w:r>
      <w:r>
        <w:rPr>
          <w:rFonts w:hint="eastAsia" w:ascii="宋体" w:hAnsi="宋体"/>
          <w:color w:val="auto"/>
        </w:rPr>
        <w:t>）      政府采购代理机构处理质疑事项原则上采取书面审查的办法。政府采购代理机构认为有必要时，可以进行调查取证，也可以组织质疑人和被质疑人当面进行质证，对政府采购代理机构进行调查的质疑事项，质疑人、被质疑人等应当如实反映情况，并提供政府采购代理机构所需要的相关材料。</w:t>
      </w:r>
    </w:p>
    <w:p>
      <w:pPr>
        <w:tabs>
          <w:tab w:val="left" w:pos="735"/>
        </w:tabs>
        <w:snapToGrid w:val="0"/>
        <w:spacing w:before="60" w:line="360" w:lineRule="auto"/>
        <w:ind w:left="735" w:right="420" w:rightChars="200" w:hanging="735" w:hangingChars="350"/>
        <w:rPr>
          <w:rFonts w:ascii="宋体" w:hAnsi="宋体"/>
          <w:color w:val="auto"/>
        </w:rPr>
      </w:pPr>
      <w:r>
        <w:rPr>
          <w:rFonts w:hint="eastAsia" w:ascii="宋体" w:hAnsi="宋体"/>
          <w:color w:val="auto"/>
        </w:rPr>
        <w:t>（</w:t>
      </w:r>
      <w:r>
        <w:rPr>
          <w:rFonts w:hint="eastAsia" w:ascii="宋体" w:hAnsi="宋体"/>
          <w:color w:val="auto"/>
          <w:lang w:val="en-US" w:eastAsia="zh-CN"/>
        </w:rPr>
        <w:t>7</w:t>
      </w:r>
      <w:r>
        <w:rPr>
          <w:rFonts w:hint="eastAsia" w:ascii="宋体" w:hAnsi="宋体"/>
          <w:color w:val="auto"/>
        </w:rPr>
        <w:t>）      质疑人拒绝配合政府采购代理机构依法进行调查的，按自动撤回质疑处理；被质疑人在规定时限内，无正当理由未提交相关证据和其他有关材料的，视同放弃说明权利，认可质疑事项。</w:t>
      </w:r>
    </w:p>
    <w:p>
      <w:pPr>
        <w:tabs>
          <w:tab w:val="left" w:pos="735"/>
        </w:tabs>
        <w:snapToGrid w:val="0"/>
        <w:spacing w:before="60" w:line="360" w:lineRule="auto"/>
        <w:ind w:left="735" w:right="420" w:rightChars="200" w:hanging="735" w:hangingChars="350"/>
        <w:rPr>
          <w:rFonts w:ascii="宋体" w:hAnsi="宋体"/>
          <w:color w:val="auto"/>
        </w:rPr>
      </w:pPr>
      <w:r>
        <w:rPr>
          <w:rFonts w:hint="eastAsia" w:ascii="宋体" w:hAnsi="宋体"/>
          <w:color w:val="auto"/>
        </w:rPr>
        <w:t>（</w:t>
      </w:r>
      <w:r>
        <w:rPr>
          <w:rFonts w:hint="eastAsia" w:ascii="宋体" w:hAnsi="宋体"/>
          <w:color w:val="auto"/>
          <w:lang w:val="en-US" w:eastAsia="zh-CN"/>
        </w:rPr>
        <w:t>8</w:t>
      </w:r>
      <w:r>
        <w:rPr>
          <w:rFonts w:hint="eastAsia" w:ascii="宋体" w:hAnsi="宋体"/>
          <w:color w:val="auto"/>
        </w:rPr>
        <w:t>）      质疑人已经参与了本采购项目的谈判活动，又对磋商文件内容提出质疑的，政府采购代理机构可视为质疑已超过有效期，将不予受理。</w:t>
      </w:r>
    </w:p>
    <w:p>
      <w:pPr>
        <w:tabs>
          <w:tab w:val="left" w:pos="735"/>
        </w:tabs>
        <w:snapToGrid w:val="0"/>
        <w:spacing w:before="60" w:line="360" w:lineRule="auto"/>
        <w:ind w:left="735" w:right="420" w:rightChars="200" w:hanging="735" w:hangingChars="350"/>
        <w:rPr>
          <w:rFonts w:ascii="宋体" w:hAnsi="宋体"/>
          <w:color w:val="auto"/>
          <w:szCs w:val="21"/>
        </w:rPr>
      </w:pPr>
      <w:r>
        <w:rPr>
          <w:rFonts w:hint="eastAsia" w:ascii="宋体" w:hAnsi="宋体"/>
          <w:color w:val="auto"/>
        </w:rPr>
        <w:t>（</w:t>
      </w:r>
      <w:r>
        <w:rPr>
          <w:rFonts w:hint="eastAsia" w:ascii="宋体" w:hAnsi="宋体"/>
          <w:color w:val="auto"/>
          <w:lang w:val="en-US" w:eastAsia="zh-CN"/>
        </w:rPr>
        <w:t>9</w:t>
      </w:r>
      <w:r>
        <w:rPr>
          <w:rFonts w:hint="eastAsia" w:ascii="宋体" w:hAnsi="宋体"/>
          <w:color w:val="auto"/>
        </w:rPr>
        <w:t xml:space="preserve">）      </w:t>
      </w:r>
      <w:r>
        <w:rPr>
          <w:rFonts w:hint="eastAsia" w:ascii="宋体"/>
          <w:color w:val="auto"/>
        </w:rPr>
        <w:t>质疑人必须对质疑或投诉内容的真实性承担法律责任。捏造事实或虚假及恶意质疑的，</w:t>
      </w:r>
      <w:r>
        <w:rPr>
          <w:rFonts w:hint="eastAsia"/>
          <w:color w:val="auto"/>
        </w:rPr>
        <w:t>政府采购代理机构可提请同级政府采购监管部门将其列入不良记录名单，在一至三年内禁止参加政府采购活动，并将处理决定在相关政府采购媒体上公布。</w:t>
      </w:r>
    </w:p>
    <w:p>
      <w:pPr>
        <w:tabs>
          <w:tab w:val="left" w:pos="540"/>
        </w:tabs>
        <w:snapToGrid w:val="0"/>
        <w:spacing w:before="60" w:line="360" w:lineRule="auto"/>
        <w:ind w:left="722" w:leftChars="-85" w:hanging="900" w:hangingChars="429"/>
        <w:rPr>
          <w:rFonts w:ascii="宋体" w:hAnsi="宋体"/>
          <w:color w:val="auto"/>
          <w:szCs w:val="21"/>
        </w:rPr>
      </w:pPr>
      <w:r>
        <w:rPr>
          <w:rFonts w:hint="eastAsia" w:ascii="宋体" w:hAnsi="宋体"/>
          <w:color w:val="auto"/>
          <w:szCs w:val="21"/>
        </w:rPr>
        <w:t xml:space="preserve">        报价人对评审结果有质疑或投诉的，可根据有关法规的规定，向相关部门书面提出，但需对质疑或投诉内容的真实性承担责任。</w:t>
      </w:r>
    </w:p>
    <w:p>
      <w:pPr>
        <w:widowControl w:val="0"/>
        <w:tabs>
          <w:tab w:val="left" w:pos="720"/>
        </w:tabs>
        <w:snapToGrid w:val="0"/>
        <w:spacing w:before="60" w:line="360" w:lineRule="auto"/>
        <w:rPr>
          <w:rFonts w:ascii="宋体" w:hAnsi="宋体"/>
          <w:color w:val="auto"/>
          <w:szCs w:val="21"/>
        </w:rPr>
      </w:pPr>
      <w:r>
        <w:rPr>
          <w:rFonts w:hint="eastAsia" w:ascii="宋体" w:hAnsi="宋体"/>
          <w:color w:val="auto"/>
          <w:szCs w:val="21"/>
        </w:rPr>
        <w:t>（</w:t>
      </w:r>
      <w:r>
        <w:rPr>
          <w:rFonts w:hint="eastAsia" w:ascii="宋体" w:hAnsi="宋体"/>
          <w:color w:val="auto"/>
          <w:szCs w:val="21"/>
          <w:lang w:val="en-US" w:eastAsia="zh-CN"/>
        </w:rPr>
        <w:t>10</w:t>
      </w:r>
      <w:r>
        <w:rPr>
          <w:rFonts w:hint="eastAsia" w:ascii="宋体" w:hAnsi="宋体"/>
          <w:color w:val="auto"/>
          <w:szCs w:val="21"/>
        </w:rPr>
        <w:t>）  采购人或采购代理机构应在收到报价人书面质疑后7个工作日内，对质疑内容作出答复。</w:t>
      </w:r>
    </w:p>
    <w:p>
      <w:pPr>
        <w:tabs>
          <w:tab w:val="left" w:pos="735"/>
        </w:tabs>
        <w:snapToGrid w:val="0"/>
        <w:spacing w:before="60" w:line="360" w:lineRule="auto"/>
        <w:ind w:left="126" w:leftChars="60" w:firstLine="630" w:firstLineChars="300"/>
        <w:rPr>
          <w:rFonts w:ascii="宋体" w:hAnsi="宋体"/>
          <w:color w:val="auto"/>
          <w:szCs w:val="21"/>
        </w:rPr>
      </w:pPr>
      <w:r>
        <w:rPr>
          <w:rFonts w:hint="eastAsia" w:ascii="宋体" w:hAnsi="宋体"/>
          <w:color w:val="auto"/>
          <w:szCs w:val="21"/>
        </w:rPr>
        <w:t>采购代理机构：广东晓君招标采购代理有限公司</w:t>
      </w:r>
      <w:r>
        <w:rPr>
          <w:rFonts w:hint="eastAsia" w:ascii="宋体" w:hAnsi="宋体"/>
          <w:color w:val="auto"/>
          <w:szCs w:val="21"/>
        </w:rPr>
        <w:tab/>
      </w:r>
    </w:p>
    <w:p>
      <w:pPr>
        <w:tabs>
          <w:tab w:val="left" w:pos="735"/>
        </w:tabs>
        <w:snapToGrid w:val="0"/>
        <w:spacing w:before="60" w:line="360" w:lineRule="auto"/>
        <w:ind w:firstLine="840" w:firstLineChars="400"/>
        <w:rPr>
          <w:rFonts w:ascii="宋体" w:hAnsi="宋体"/>
          <w:color w:val="auto"/>
          <w:szCs w:val="21"/>
        </w:rPr>
      </w:pPr>
      <w:r>
        <w:rPr>
          <w:rFonts w:hint="eastAsia" w:ascii="宋体" w:hAnsi="宋体"/>
          <w:color w:val="auto"/>
          <w:szCs w:val="21"/>
        </w:rPr>
        <w:t>地  址：</w:t>
      </w:r>
      <w:r>
        <w:rPr>
          <w:rFonts w:hint="eastAsia" w:ascii="宋体" w:hAnsi="宋体"/>
          <w:color w:val="auto"/>
        </w:rPr>
        <w:t>广东省云浮市云城区城中路110号三楼(果留香楼上)</w:t>
      </w:r>
    </w:p>
    <w:p>
      <w:pPr>
        <w:tabs>
          <w:tab w:val="left" w:pos="735"/>
        </w:tabs>
        <w:snapToGrid w:val="0"/>
        <w:spacing w:before="60" w:line="360" w:lineRule="auto"/>
        <w:ind w:firstLine="840" w:firstLineChars="400"/>
        <w:rPr>
          <w:rFonts w:ascii="宋体" w:hAnsi="宋体"/>
          <w:color w:val="auto"/>
          <w:szCs w:val="21"/>
        </w:rPr>
      </w:pPr>
      <w:r>
        <w:rPr>
          <w:rFonts w:hint="eastAsia" w:ascii="宋体" w:hAnsi="宋体"/>
          <w:color w:val="auto"/>
          <w:szCs w:val="21"/>
        </w:rPr>
        <w:t>电  话：0766-8399669</w:t>
      </w:r>
    </w:p>
    <w:p>
      <w:pPr>
        <w:tabs>
          <w:tab w:val="left" w:pos="735"/>
        </w:tabs>
        <w:snapToGrid w:val="0"/>
        <w:spacing w:before="60" w:line="360" w:lineRule="auto"/>
        <w:ind w:firstLine="840" w:firstLineChars="400"/>
        <w:rPr>
          <w:rFonts w:ascii="宋体" w:hAnsi="宋体"/>
          <w:color w:val="auto"/>
          <w:szCs w:val="21"/>
        </w:rPr>
      </w:pPr>
      <w:r>
        <w:rPr>
          <w:rFonts w:hint="eastAsia" w:ascii="宋体" w:hAnsi="宋体"/>
          <w:color w:val="auto"/>
          <w:szCs w:val="21"/>
        </w:rPr>
        <w:t>传  真：0766-8399669</w:t>
      </w:r>
    </w:p>
    <w:p>
      <w:pPr>
        <w:tabs>
          <w:tab w:val="left" w:pos="735"/>
        </w:tabs>
        <w:snapToGrid w:val="0"/>
        <w:spacing w:before="60" w:line="360" w:lineRule="auto"/>
        <w:ind w:firstLine="840" w:firstLineChars="400"/>
        <w:rPr>
          <w:rFonts w:ascii="宋体" w:hAnsi="宋体"/>
          <w:color w:val="auto"/>
          <w:szCs w:val="21"/>
        </w:rPr>
      </w:pPr>
      <w:r>
        <w:rPr>
          <w:rFonts w:hint="eastAsia" w:ascii="宋体" w:hAnsi="宋体"/>
          <w:color w:val="auto"/>
          <w:szCs w:val="21"/>
        </w:rPr>
        <w:t>邮  编：527300</w:t>
      </w:r>
    </w:p>
    <w:p>
      <w:pPr>
        <w:tabs>
          <w:tab w:val="left" w:pos="735"/>
        </w:tabs>
        <w:snapToGrid w:val="0"/>
        <w:spacing w:before="60" w:line="360" w:lineRule="auto"/>
        <w:ind w:firstLine="840" w:firstLineChars="400"/>
        <w:rPr>
          <w:rFonts w:ascii="宋体" w:hAnsi="宋体"/>
          <w:color w:val="auto"/>
          <w:szCs w:val="21"/>
        </w:rPr>
      </w:pPr>
      <w:r>
        <w:rPr>
          <w:rFonts w:hint="eastAsia" w:ascii="宋体" w:hAnsi="宋体"/>
          <w:color w:val="auto"/>
          <w:szCs w:val="21"/>
        </w:rPr>
        <w:t>联系人：邓先生</w:t>
      </w:r>
    </w:p>
    <w:p>
      <w:pPr>
        <w:pStyle w:val="4"/>
        <w:ind w:left="840" w:hanging="840" w:hangingChars="400"/>
        <w:rPr>
          <w:color w:val="auto"/>
        </w:rPr>
      </w:pPr>
      <w:r>
        <w:rPr>
          <w:rFonts w:hint="eastAsia" w:hAnsi="宋体"/>
          <w:color w:val="auto"/>
        </w:rPr>
        <w:t>（10）  报价人对采购人或采购代理机构的答复不满意或他们未在规定时间内给予答复的，提出质疑的报价人可以在答复期满后15个工作日内，</w:t>
      </w:r>
      <w:r>
        <w:rPr>
          <w:rFonts w:hint="eastAsia"/>
          <w:color w:val="auto"/>
          <w:spacing w:val="-4"/>
          <w:szCs w:val="21"/>
        </w:rPr>
        <w:t>按如下联系方式向政府采购监督管理机构投诉。</w:t>
      </w:r>
    </w:p>
    <w:p>
      <w:pPr>
        <w:spacing w:line="480" w:lineRule="exact"/>
        <w:ind w:right="200" w:firstLine="840" w:firstLineChars="400"/>
        <w:rPr>
          <w:rFonts w:hint="eastAsia" w:ascii="宋体" w:hAnsi="宋体"/>
          <w:color w:val="auto"/>
          <w:szCs w:val="21"/>
        </w:rPr>
      </w:pPr>
      <w:r>
        <w:rPr>
          <w:rFonts w:hint="eastAsia"/>
          <w:color w:val="auto"/>
        </w:rPr>
        <w:t>政府采购监督管理机构名称：</w:t>
      </w:r>
      <w:r>
        <w:rPr>
          <w:rFonts w:hint="eastAsia"/>
          <w:color w:val="auto"/>
          <w:lang w:eastAsia="zh-CN"/>
        </w:rPr>
        <w:t>郁南县财政局</w:t>
      </w:r>
      <w:r>
        <w:rPr>
          <w:rFonts w:hint="eastAsia" w:ascii="宋体" w:hAnsi="宋体"/>
          <w:color w:val="auto"/>
          <w:szCs w:val="21"/>
        </w:rPr>
        <w:t xml:space="preserve"> </w:t>
      </w:r>
    </w:p>
    <w:p>
      <w:pPr>
        <w:spacing w:line="480" w:lineRule="exact"/>
        <w:ind w:right="200" w:firstLine="840" w:firstLineChars="400"/>
        <w:rPr>
          <w:rFonts w:hint="eastAsia" w:ascii="宋体" w:hAnsi="宋体"/>
          <w:color w:val="auto"/>
          <w:szCs w:val="21"/>
        </w:rPr>
      </w:pPr>
      <w:r>
        <w:rPr>
          <w:rFonts w:hint="eastAsia" w:ascii="宋体" w:hAnsi="宋体"/>
          <w:color w:val="auto"/>
          <w:szCs w:val="21"/>
        </w:rPr>
        <w:t>地  址：</w:t>
      </w:r>
      <w:r>
        <w:rPr>
          <w:rFonts w:hint="eastAsia" w:ascii="宋体" w:hAnsi="宋体"/>
          <w:color w:val="auto"/>
          <w:spacing w:val="-4"/>
          <w:sz w:val="21"/>
          <w:szCs w:val="21"/>
          <w:lang w:val="en-US" w:eastAsia="zh-CN" w:bidi="ar-SA"/>
        </w:rPr>
        <w:t>云浮市郁南县都城镇新生东路92号</w:t>
      </w:r>
    </w:p>
    <w:p>
      <w:pPr>
        <w:spacing w:line="480" w:lineRule="exact"/>
        <w:ind w:right="200" w:firstLine="840" w:firstLineChars="400"/>
        <w:rPr>
          <w:rFonts w:hint="eastAsia" w:ascii="宋体" w:hAnsi="宋体"/>
          <w:color w:val="auto"/>
          <w:szCs w:val="21"/>
        </w:rPr>
      </w:pPr>
      <w:r>
        <w:rPr>
          <w:rFonts w:hint="eastAsia" w:ascii="宋体" w:hAnsi="宋体"/>
          <w:color w:val="auto"/>
          <w:szCs w:val="21"/>
        </w:rPr>
        <w:t>电  话：</w:t>
      </w:r>
      <w:r>
        <w:rPr>
          <w:rFonts w:hint="eastAsia" w:ascii="宋体" w:hAnsi="宋体"/>
          <w:color w:val="auto"/>
          <w:szCs w:val="24"/>
          <w:lang w:val="zh-CN"/>
        </w:rPr>
        <w:t>0766-</w:t>
      </w:r>
      <w:r>
        <w:rPr>
          <w:rFonts w:hint="eastAsia" w:ascii="宋体" w:hAnsi="宋体" w:cs="Tahoma"/>
          <w:color w:val="auto"/>
          <w:lang w:val="en-US" w:eastAsia="zh-CN"/>
        </w:rPr>
        <w:t>7593963</w:t>
      </w:r>
    </w:p>
    <w:p>
      <w:pPr>
        <w:spacing w:line="480" w:lineRule="exact"/>
        <w:ind w:right="200" w:firstLine="840" w:firstLineChars="400"/>
        <w:rPr>
          <w:rFonts w:hint="eastAsia" w:ascii="宋体" w:hAnsi="宋体"/>
          <w:color w:val="auto"/>
          <w:szCs w:val="21"/>
        </w:rPr>
      </w:pPr>
      <w:r>
        <w:rPr>
          <w:rFonts w:hint="eastAsia" w:ascii="宋体" w:hAnsi="宋体"/>
          <w:color w:val="auto"/>
          <w:szCs w:val="21"/>
        </w:rPr>
        <w:t>邮  编：527</w:t>
      </w:r>
      <w:r>
        <w:rPr>
          <w:rFonts w:hint="eastAsia" w:ascii="宋体" w:hAnsi="宋体"/>
          <w:color w:val="auto"/>
          <w:szCs w:val="21"/>
          <w:lang w:val="en-US" w:eastAsia="zh-CN"/>
        </w:rPr>
        <w:t>1</w:t>
      </w:r>
      <w:r>
        <w:rPr>
          <w:rFonts w:hint="eastAsia" w:ascii="宋体" w:hAnsi="宋体"/>
          <w:color w:val="auto"/>
          <w:szCs w:val="21"/>
        </w:rPr>
        <w:t>00</w:t>
      </w:r>
    </w:p>
    <w:p>
      <w:pPr>
        <w:tabs>
          <w:tab w:val="left" w:pos="0"/>
          <w:tab w:val="left" w:pos="600"/>
          <w:tab w:val="left" w:pos="4700"/>
        </w:tabs>
        <w:autoSpaceDE w:val="0"/>
        <w:autoSpaceDN w:val="0"/>
        <w:snapToGrid w:val="0"/>
        <w:spacing w:before="60" w:line="360" w:lineRule="auto"/>
        <w:ind w:firstLine="840" w:firstLineChars="400"/>
        <w:jc w:val="both"/>
        <w:textAlignment w:val="bottom"/>
        <w:rPr>
          <w:rFonts w:ascii="宋体" w:hAnsi="宋体"/>
          <w:color w:val="auto"/>
        </w:rPr>
      </w:pPr>
    </w:p>
    <w:p>
      <w:pPr>
        <w:tabs>
          <w:tab w:val="left" w:pos="735"/>
        </w:tabs>
        <w:snapToGrid w:val="0"/>
        <w:spacing w:before="60" w:line="360" w:lineRule="auto"/>
        <w:ind w:left="420" w:right="420" w:rightChars="200" w:hanging="420" w:hangingChars="200"/>
        <w:rPr>
          <w:rFonts w:ascii="宋体" w:hAnsi="宋体"/>
          <w:color w:val="auto"/>
          <w:szCs w:val="21"/>
        </w:rPr>
      </w:pPr>
      <w:r>
        <w:rPr>
          <w:rFonts w:hint="eastAsia" w:ascii="宋体" w:hAnsi="宋体"/>
          <w:color w:val="auto"/>
          <w:szCs w:val="21"/>
        </w:rPr>
        <w:t xml:space="preserve">5.4   </w:t>
      </w:r>
      <w:r>
        <w:rPr>
          <w:rFonts w:hint="eastAsia"/>
          <w:bCs/>
          <w:color w:val="auto"/>
          <w:szCs w:val="21"/>
        </w:rPr>
        <w:t>成交通知书及中标通知书</w:t>
      </w:r>
    </w:p>
    <w:p>
      <w:pPr>
        <w:widowControl w:val="0"/>
        <w:numPr>
          <w:ilvl w:val="0"/>
          <w:numId w:val="14"/>
        </w:numPr>
        <w:tabs>
          <w:tab w:val="left" w:pos="720"/>
          <w:tab w:val="clear" w:pos="481"/>
        </w:tabs>
        <w:snapToGrid w:val="0"/>
        <w:spacing w:before="60" w:line="360" w:lineRule="auto"/>
        <w:ind w:left="720"/>
        <w:rPr>
          <w:rFonts w:ascii="宋体" w:hAnsi="宋体"/>
          <w:color w:val="auto"/>
          <w:szCs w:val="21"/>
        </w:rPr>
      </w:pPr>
      <w:r>
        <w:rPr>
          <w:rFonts w:hint="eastAsia" w:hAnsi="宋体"/>
          <w:color w:val="auto"/>
        </w:rPr>
        <w:t>中标结果公告发布的同时，采购代理机构以书面形式向中标供应商发出《成交通知书》；中标供应商收到《成交通知书》后以书面形式向采购代理机构确认。</w:t>
      </w:r>
    </w:p>
    <w:p>
      <w:pPr>
        <w:widowControl w:val="0"/>
        <w:numPr>
          <w:ilvl w:val="0"/>
          <w:numId w:val="14"/>
        </w:numPr>
        <w:tabs>
          <w:tab w:val="left" w:pos="720"/>
          <w:tab w:val="clear" w:pos="481"/>
        </w:tabs>
        <w:snapToGrid w:val="0"/>
        <w:spacing w:before="60" w:line="360" w:lineRule="auto"/>
        <w:ind w:left="720"/>
        <w:rPr>
          <w:rFonts w:ascii="宋体" w:hAnsi="宋体"/>
          <w:color w:val="auto"/>
          <w:szCs w:val="21"/>
        </w:rPr>
      </w:pPr>
      <w:r>
        <w:rPr>
          <w:rFonts w:hint="eastAsia" w:hAnsi="宋体"/>
          <w:color w:val="auto"/>
        </w:rPr>
        <w:t>《中标通知书》将是合同的一个组成部分，对采购人和中标供应商具有同等法律效力；《中标通知书》发出后，采购人改变中标结果，或者中标供应商放弃中标的，均应承担相应的法律责任。</w:t>
      </w:r>
    </w:p>
    <w:p>
      <w:pPr>
        <w:widowControl w:val="0"/>
        <w:numPr>
          <w:ilvl w:val="0"/>
          <w:numId w:val="14"/>
        </w:numPr>
        <w:tabs>
          <w:tab w:val="left" w:pos="720"/>
          <w:tab w:val="clear" w:pos="481"/>
        </w:tabs>
        <w:snapToGrid w:val="0"/>
        <w:spacing w:before="60" w:line="360" w:lineRule="auto"/>
        <w:ind w:left="720"/>
        <w:rPr>
          <w:rFonts w:ascii="宋体" w:hAnsi="宋体"/>
          <w:color w:val="auto"/>
          <w:szCs w:val="21"/>
        </w:rPr>
      </w:pPr>
      <w:r>
        <w:rPr>
          <w:rFonts w:hint="eastAsia" w:hAnsi="宋体"/>
          <w:color w:val="auto"/>
        </w:rPr>
        <w:t>采购代理机构在向中标供应商发出《中标通知书》的同时，发布《招标结果公告》，将招标结果通知未中标供应商。</w:t>
      </w:r>
    </w:p>
    <w:p>
      <w:pPr>
        <w:tabs>
          <w:tab w:val="left" w:pos="735"/>
        </w:tabs>
        <w:snapToGrid w:val="0"/>
        <w:spacing w:before="60" w:line="360" w:lineRule="auto"/>
        <w:ind w:left="420" w:right="420" w:rightChars="200" w:hanging="420" w:hangingChars="200"/>
        <w:rPr>
          <w:rFonts w:ascii="宋体" w:hAnsi="宋体"/>
          <w:color w:val="auto"/>
          <w:szCs w:val="21"/>
        </w:rPr>
      </w:pPr>
      <w:r>
        <w:rPr>
          <w:rFonts w:hint="eastAsia" w:ascii="宋体" w:hAnsi="宋体"/>
          <w:color w:val="auto"/>
          <w:szCs w:val="21"/>
        </w:rPr>
        <w:t>5.5   签订合同</w:t>
      </w:r>
    </w:p>
    <w:p>
      <w:pPr>
        <w:widowControl w:val="0"/>
        <w:numPr>
          <w:ilvl w:val="0"/>
          <w:numId w:val="15"/>
        </w:numPr>
        <w:tabs>
          <w:tab w:val="left" w:pos="720"/>
          <w:tab w:val="clear" w:pos="481"/>
        </w:tabs>
        <w:snapToGrid w:val="0"/>
        <w:spacing w:before="60" w:line="360" w:lineRule="auto"/>
        <w:ind w:left="720"/>
        <w:rPr>
          <w:rFonts w:ascii="宋体" w:hAnsi="宋体"/>
          <w:color w:val="auto"/>
          <w:szCs w:val="21"/>
        </w:rPr>
      </w:pPr>
      <w:r>
        <w:rPr>
          <w:rFonts w:hint="eastAsia" w:ascii="宋体" w:hAnsi="宋体"/>
          <w:color w:val="auto"/>
          <w:szCs w:val="21"/>
        </w:rPr>
        <w:t>成交报价人在收到《成交通知书》后，应按照《成交通知书》指定的时间、地点，派遣其授权代表与采购人签署合同。</w:t>
      </w:r>
    </w:p>
    <w:p>
      <w:pPr>
        <w:widowControl w:val="0"/>
        <w:numPr>
          <w:ilvl w:val="0"/>
          <w:numId w:val="15"/>
        </w:numPr>
        <w:tabs>
          <w:tab w:val="left" w:pos="720"/>
          <w:tab w:val="clear" w:pos="481"/>
        </w:tabs>
        <w:snapToGrid w:val="0"/>
        <w:spacing w:before="60" w:line="360" w:lineRule="auto"/>
        <w:ind w:left="720"/>
        <w:rPr>
          <w:rFonts w:ascii="宋体" w:hAnsi="宋体"/>
          <w:color w:val="auto"/>
          <w:szCs w:val="21"/>
        </w:rPr>
      </w:pPr>
      <w:r>
        <w:rPr>
          <w:rFonts w:hint="eastAsia" w:ascii="宋体" w:hAnsi="宋体"/>
          <w:color w:val="auto"/>
          <w:szCs w:val="21"/>
        </w:rPr>
        <w:t>合同的组成基于但不限于以下部分：</w:t>
      </w:r>
    </w:p>
    <w:p>
      <w:pPr>
        <w:tabs>
          <w:tab w:val="left" w:pos="735"/>
        </w:tabs>
        <w:snapToGrid w:val="0"/>
        <w:spacing w:before="60" w:line="360" w:lineRule="auto"/>
        <w:ind w:left="420" w:leftChars="200" w:right="420" w:rightChars="200" w:firstLine="298" w:firstLineChars="142"/>
        <w:rPr>
          <w:rFonts w:ascii="宋体" w:hAnsi="宋体"/>
          <w:color w:val="auto"/>
          <w:szCs w:val="21"/>
        </w:rPr>
      </w:pPr>
      <w:r>
        <w:rPr>
          <w:rFonts w:hint="eastAsia" w:ascii="宋体" w:hAnsi="宋体"/>
          <w:color w:val="auto"/>
          <w:szCs w:val="21"/>
        </w:rPr>
        <w:t>a.《合同书》；</w:t>
      </w:r>
    </w:p>
    <w:p>
      <w:pPr>
        <w:tabs>
          <w:tab w:val="left" w:pos="735"/>
        </w:tabs>
        <w:snapToGrid w:val="0"/>
        <w:spacing w:before="60" w:line="360" w:lineRule="auto"/>
        <w:ind w:left="420" w:leftChars="200" w:right="420" w:rightChars="200" w:firstLine="298" w:firstLineChars="142"/>
        <w:rPr>
          <w:rFonts w:ascii="宋体" w:hAnsi="宋体"/>
          <w:color w:val="auto"/>
          <w:szCs w:val="21"/>
        </w:rPr>
      </w:pPr>
      <w:r>
        <w:rPr>
          <w:rFonts w:hint="eastAsia" w:ascii="宋体" w:hAnsi="宋体"/>
          <w:color w:val="auto"/>
          <w:szCs w:val="21"/>
        </w:rPr>
        <w:t>b. 磋商文件及其澄清、补充文件；</w:t>
      </w:r>
    </w:p>
    <w:p>
      <w:pPr>
        <w:tabs>
          <w:tab w:val="left" w:pos="735"/>
        </w:tabs>
        <w:snapToGrid w:val="0"/>
        <w:spacing w:before="60" w:line="360" w:lineRule="auto"/>
        <w:ind w:left="420" w:leftChars="200" w:right="420" w:rightChars="200" w:firstLine="298" w:firstLineChars="142"/>
        <w:rPr>
          <w:rFonts w:ascii="宋体" w:hAnsi="宋体"/>
          <w:color w:val="auto"/>
          <w:szCs w:val="21"/>
        </w:rPr>
      </w:pPr>
      <w:r>
        <w:rPr>
          <w:rFonts w:hint="eastAsia" w:ascii="宋体" w:hAnsi="宋体"/>
          <w:color w:val="auto"/>
          <w:szCs w:val="21"/>
        </w:rPr>
        <w:t>c. 成交报价人的报价文件及其澄清、补充文件；</w:t>
      </w:r>
    </w:p>
    <w:p>
      <w:pPr>
        <w:tabs>
          <w:tab w:val="left" w:pos="735"/>
        </w:tabs>
        <w:snapToGrid w:val="0"/>
        <w:spacing w:before="60" w:line="360" w:lineRule="auto"/>
        <w:ind w:left="420" w:leftChars="200" w:right="420" w:rightChars="200" w:firstLine="298" w:firstLineChars="142"/>
        <w:rPr>
          <w:rFonts w:ascii="宋体" w:hAnsi="宋体"/>
          <w:color w:val="auto"/>
          <w:szCs w:val="21"/>
        </w:rPr>
      </w:pPr>
      <w:r>
        <w:rPr>
          <w:rFonts w:hint="eastAsia" w:ascii="宋体" w:hAnsi="宋体"/>
          <w:color w:val="auto"/>
          <w:szCs w:val="21"/>
        </w:rPr>
        <w:t>d.《成交通知书》。</w:t>
      </w:r>
    </w:p>
    <w:p>
      <w:pPr>
        <w:tabs>
          <w:tab w:val="left" w:pos="735"/>
        </w:tabs>
        <w:snapToGrid w:val="0"/>
        <w:spacing w:before="60" w:line="360" w:lineRule="auto"/>
        <w:ind w:left="420" w:right="420" w:rightChars="200" w:hanging="420" w:hangingChars="200"/>
        <w:rPr>
          <w:rFonts w:ascii="宋体" w:hAnsi="宋体"/>
          <w:color w:val="auto"/>
          <w:szCs w:val="21"/>
        </w:rPr>
      </w:pPr>
      <w:r>
        <w:rPr>
          <w:rFonts w:hint="eastAsia" w:ascii="宋体" w:hAnsi="宋体"/>
          <w:color w:val="auto"/>
          <w:szCs w:val="21"/>
        </w:rPr>
        <w:t>5.6  成交服务费</w:t>
      </w:r>
    </w:p>
    <w:p>
      <w:pPr>
        <w:pStyle w:val="4"/>
        <w:rPr>
          <w:color w:val="auto"/>
        </w:rPr>
      </w:pPr>
      <w:r>
        <w:rPr>
          <w:rFonts w:hint="eastAsia"/>
          <w:color w:val="auto"/>
        </w:rPr>
        <w:t>（1）</w:t>
      </w:r>
      <w:r>
        <w:rPr>
          <w:rFonts w:hint="eastAsia" w:hAnsi="宋体"/>
          <w:color w:val="auto"/>
        </w:rPr>
        <w:t>中标</w:t>
      </w:r>
      <w:r>
        <w:rPr>
          <w:rFonts w:hint="eastAsia" w:hAnsi="宋体"/>
          <w:color w:val="auto"/>
          <w:spacing w:val="-4"/>
          <w:szCs w:val="21"/>
        </w:rPr>
        <w:t>人</w:t>
      </w:r>
      <w:r>
        <w:rPr>
          <w:rFonts w:hint="eastAsia" w:hAnsi="宋体"/>
          <w:color w:val="auto"/>
        </w:rPr>
        <w:t>在收取《中标通知书》时应向采购代理机构交纳中标服务费，每个中标人应向招标机构交纳中标服务费</w:t>
      </w:r>
      <w:r>
        <w:rPr>
          <w:rFonts w:hint="eastAsia" w:hAnsi="宋体"/>
          <w:b/>
          <w:color w:val="auto"/>
        </w:rPr>
        <w:t>人民币</w:t>
      </w:r>
      <w:r>
        <w:rPr>
          <w:rFonts w:hint="eastAsia" w:hAnsi="宋体"/>
          <w:b/>
          <w:color w:val="auto"/>
          <w:lang w:eastAsia="zh-CN"/>
        </w:rPr>
        <w:t>贰万</w:t>
      </w:r>
      <w:r>
        <w:rPr>
          <w:rFonts w:hint="eastAsia" w:hAnsi="宋体"/>
          <w:b/>
          <w:color w:val="auto"/>
        </w:rPr>
        <w:t>元整（</w:t>
      </w:r>
      <w:r>
        <w:rPr>
          <w:rFonts w:hint="default" w:ascii="Arial" w:hAnsi="Arial" w:cs="Arial"/>
          <w:b/>
          <w:color w:val="auto"/>
        </w:rPr>
        <w:t>¥</w:t>
      </w:r>
      <w:r>
        <w:rPr>
          <w:rFonts w:hint="eastAsia" w:ascii="Arial" w:hAnsi="Arial" w:cs="Arial"/>
          <w:b/>
          <w:color w:val="auto"/>
          <w:lang w:val="en-US" w:eastAsia="zh-CN"/>
        </w:rPr>
        <w:t>2</w:t>
      </w:r>
      <w:r>
        <w:rPr>
          <w:rFonts w:hint="eastAsia" w:hAnsi="宋体"/>
          <w:b/>
          <w:color w:val="auto"/>
          <w:lang w:val="en-US" w:eastAsia="zh-CN"/>
        </w:rPr>
        <w:t>0</w:t>
      </w:r>
      <w:r>
        <w:rPr>
          <w:rFonts w:hint="eastAsia" w:hAnsi="宋体"/>
          <w:b/>
          <w:color w:val="auto"/>
        </w:rPr>
        <w:t>,000.00）</w:t>
      </w:r>
      <w:r>
        <w:rPr>
          <w:rFonts w:hint="eastAsia" w:hAnsi="宋体"/>
          <w:b w:val="0"/>
          <w:bCs/>
          <w:color w:val="auto"/>
          <w:lang w:eastAsia="zh-CN"/>
        </w:rPr>
        <w:t>。</w:t>
      </w:r>
    </w:p>
    <w:p>
      <w:pPr>
        <w:pStyle w:val="4"/>
        <w:snapToGrid w:val="0"/>
        <w:spacing w:before="60"/>
        <w:rPr>
          <w:rFonts w:hAnsi="宋体"/>
          <w:color w:val="auto"/>
        </w:rPr>
      </w:pPr>
      <w:r>
        <w:rPr>
          <w:rFonts w:hint="eastAsia" w:hAnsi="宋体"/>
          <w:color w:val="auto"/>
        </w:rPr>
        <w:t xml:space="preserve"> (2)成交服务费以人民币支付。</w:t>
      </w:r>
    </w:p>
    <w:p>
      <w:pPr>
        <w:pStyle w:val="4"/>
        <w:snapToGrid w:val="0"/>
        <w:spacing w:before="60"/>
        <w:ind w:firstLine="105" w:firstLineChars="50"/>
        <w:rPr>
          <w:rFonts w:hAnsi="宋体"/>
          <w:color w:val="auto"/>
        </w:rPr>
      </w:pPr>
      <w:r>
        <w:rPr>
          <w:rFonts w:hint="eastAsia" w:hAnsi="宋体"/>
          <w:color w:val="auto"/>
        </w:rPr>
        <w:t>(3)成交服务费支付方式：一次性以电汇、支票或现金等形式支付。</w:t>
      </w:r>
    </w:p>
    <w:p>
      <w:pPr>
        <w:pStyle w:val="4"/>
        <w:snapToGrid w:val="0"/>
        <w:spacing w:before="60"/>
        <w:ind w:firstLine="105" w:firstLineChars="50"/>
        <w:rPr>
          <w:rFonts w:hAnsi="宋体"/>
          <w:color w:val="auto"/>
        </w:rPr>
      </w:pPr>
      <w:r>
        <w:rPr>
          <w:rFonts w:hint="eastAsia" w:hAnsi="宋体"/>
          <w:color w:val="auto"/>
        </w:rPr>
        <w:t>(4)成交服务费不在报价中单列。</w:t>
      </w:r>
    </w:p>
    <w:p>
      <w:pPr>
        <w:pStyle w:val="4"/>
        <w:snapToGrid w:val="0"/>
        <w:spacing w:before="60"/>
        <w:ind w:firstLine="105" w:firstLineChars="50"/>
        <w:rPr>
          <w:rFonts w:hAnsi="宋体"/>
          <w:color w:val="auto"/>
        </w:rPr>
      </w:pPr>
      <w:r>
        <w:rPr>
          <w:rFonts w:hint="eastAsia" w:hAnsi="宋体"/>
          <w:color w:val="auto"/>
        </w:rPr>
        <w:t>(5)报价人如果不按规定交纳成交服务费，采购代理机构将在成交人的报价保证金中抵扣服务费。</w:t>
      </w:r>
    </w:p>
    <w:p>
      <w:pPr>
        <w:spacing w:line="480" w:lineRule="exact"/>
        <w:rPr>
          <w:rFonts w:ascii="宋体" w:hAnsi="宋体" w:cs="宋体"/>
          <w:b/>
          <w:bCs/>
          <w:color w:val="auto"/>
          <w:sz w:val="32"/>
          <w:szCs w:val="32"/>
        </w:rPr>
      </w:pPr>
      <w:r>
        <w:rPr>
          <w:rFonts w:hint="eastAsia" w:ascii="宋体" w:hAnsi="宋体" w:cs="宋体"/>
          <w:b/>
          <w:bCs/>
          <w:color w:val="auto"/>
          <w:sz w:val="32"/>
          <w:szCs w:val="32"/>
        </w:rPr>
        <w:t>六、保密约定</w:t>
      </w:r>
    </w:p>
    <w:p>
      <w:pPr>
        <w:spacing w:line="480" w:lineRule="exact"/>
        <w:ind w:firstLine="420" w:firstLineChars="200"/>
        <w:rPr>
          <w:rFonts w:ascii="宋体" w:hAnsi="宋体" w:cs="宋体"/>
          <w:color w:val="auto"/>
        </w:rPr>
      </w:pPr>
      <w:r>
        <w:rPr>
          <w:rFonts w:hint="eastAsia" w:ascii="宋体" w:hAnsi="宋体" w:cs="宋体"/>
          <w:color w:val="auto"/>
        </w:rPr>
        <w:t>1） 在磋商采购的全过程中，双方人员都应自觉遵守保密约定，以维护招标采购工作的公正、公平，保证招标采购工作的正常进行和完成；</w:t>
      </w:r>
    </w:p>
    <w:p>
      <w:pPr>
        <w:spacing w:line="480" w:lineRule="exact"/>
        <w:ind w:firstLine="420" w:firstLineChars="200"/>
        <w:rPr>
          <w:rFonts w:ascii="宋体" w:hAnsi="宋体" w:cs="宋体"/>
          <w:color w:val="auto"/>
        </w:rPr>
      </w:pPr>
      <w:r>
        <w:rPr>
          <w:rFonts w:hint="eastAsia" w:ascii="宋体" w:hAnsi="宋体" w:cs="宋体"/>
          <w:color w:val="auto"/>
        </w:rPr>
        <w:t>2） 招标期间，各方不得向无关人员，尤其是向供应商透露招标工作的内部秘密，如：报价人的名称、数量、以及与招标投标有关的重要情况；</w:t>
      </w:r>
    </w:p>
    <w:p>
      <w:pPr>
        <w:spacing w:line="480" w:lineRule="exact"/>
        <w:ind w:firstLine="420" w:firstLineChars="200"/>
        <w:rPr>
          <w:rFonts w:ascii="宋体" w:hAnsi="宋体" w:cs="宋体"/>
          <w:color w:val="auto"/>
        </w:rPr>
      </w:pPr>
      <w:r>
        <w:rPr>
          <w:rFonts w:hint="eastAsia" w:ascii="宋体" w:hAnsi="宋体" w:cs="宋体"/>
          <w:color w:val="auto"/>
        </w:rPr>
        <w:t>3） 开标前采购人向采购代理机构索要已获取磋商文件的潜在报价人的名称、数量、联系方式或者其它可能与公平竞争有关的招标投标文情况（资料），采购人必须以书面形式索要并具体列出索要的文件清单，采购代理机构同意提供的，采购人要写出有效的收条并严格履行法定的保密义务；</w:t>
      </w:r>
    </w:p>
    <w:p>
      <w:pPr>
        <w:spacing w:line="480" w:lineRule="exact"/>
        <w:ind w:firstLine="420" w:firstLineChars="200"/>
        <w:rPr>
          <w:rFonts w:ascii="宋体" w:hAnsi="宋体" w:cs="宋体"/>
          <w:color w:val="auto"/>
        </w:rPr>
      </w:pPr>
      <w:r>
        <w:rPr>
          <w:rFonts w:hint="eastAsia" w:ascii="宋体" w:hAnsi="宋体" w:cs="宋体"/>
          <w:color w:val="auto"/>
        </w:rPr>
        <w:t>4）任何一方不应私自与报价人就本投标内容进行单方接触或谈判。因工作需要或业务目的的任何对外活动均应事前、事后互相知会与沟通情况，以使工作协调；</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hAnsi="宋体" w:cs="宋体"/>
          <w:b w:val="0"/>
          <w:bCs w:val="0"/>
          <w:color w:val="auto"/>
          <w:sz w:val="21"/>
          <w:szCs w:val="21"/>
        </w:rPr>
        <w:t xml:space="preserve">    5）凡因单方泄露情况而导致工作不能顺利进行或无法进行，均视为对项目和对方利益的侵害，责任应由泄密方承担。</w:t>
      </w:r>
    </w:p>
    <w:p>
      <w:pPr>
        <w:pStyle w:val="2"/>
        <w:widowControl w:val="0"/>
        <w:tabs>
          <w:tab w:val="left" w:pos="840"/>
        </w:tabs>
        <w:adjustRightInd w:val="0"/>
        <w:snapToGrid w:val="0"/>
        <w:spacing w:before="240" w:afterLines="50" w:line="360" w:lineRule="auto"/>
        <w:jc w:val="both"/>
        <w:rPr>
          <w:rFonts w:ascii="宋体"/>
          <w:bCs w:val="0"/>
          <w:color w:val="auto"/>
          <w:kern w:val="2"/>
          <w:sz w:val="32"/>
          <w:szCs w:val="32"/>
        </w:rPr>
      </w:pPr>
      <w:r>
        <w:rPr>
          <w:rFonts w:hint="eastAsia" w:ascii="宋体"/>
          <w:bCs w:val="0"/>
          <w:color w:val="auto"/>
          <w:kern w:val="2"/>
          <w:sz w:val="32"/>
          <w:szCs w:val="32"/>
        </w:rPr>
        <w:t>七、磋商文件的解释权</w:t>
      </w:r>
    </w:p>
    <w:p>
      <w:pPr>
        <w:pStyle w:val="4"/>
        <w:snapToGrid w:val="0"/>
        <w:spacing w:before="60"/>
        <w:ind w:left="630" w:hanging="630" w:hangingChars="300"/>
        <w:rPr>
          <w:color w:val="auto"/>
        </w:rPr>
        <w:sectPr>
          <w:headerReference r:id="rId5" w:type="default"/>
          <w:footerReference r:id="rId6" w:type="default"/>
          <w:pgSz w:w="11907" w:h="16840"/>
          <w:pgMar w:top="1440" w:right="1418" w:bottom="1440" w:left="1418" w:header="851" w:footer="851" w:gutter="0"/>
          <w:pgNumType w:start="1"/>
          <w:cols w:space="720" w:num="1"/>
          <w:docGrid w:linePitch="285" w:charSpace="0"/>
        </w:sectPr>
      </w:pPr>
      <w:r>
        <w:rPr>
          <w:rFonts w:hint="eastAsia"/>
          <w:color w:val="auto"/>
        </w:rPr>
        <w:t>7.1   本磋商文件的解释权归</w:t>
      </w:r>
      <w:r>
        <w:rPr>
          <w:rFonts w:hint="eastAsia"/>
          <w:b/>
          <w:color w:val="auto"/>
        </w:rPr>
        <w:t>广东晓君招标采购代理有限公司</w:t>
      </w:r>
      <w:r>
        <w:rPr>
          <w:rFonts w:hint="eastAsia"/>
          <w:color w:val="auto"/>
        </w:rPr>
        <w:t xml:space="preserve">所有。 </w:t>
      </w:r>
    </w:p>
    <w:p>
      <w:pPr>
        <w:pStyle w:val="4"/>
        <w:snapToGrid w:val="0"/>
        <w:spacing w:before="60"/>
        <w:ind w:left="904" w:hanging="904" w:hangingChars="300"/>
        <w:jc w:val="center"/>
        <w:rPr>
          <w:b/>
          <w:color w:val="auto"/>
          <w:sz w:val="30"/>
          <w:szCs w:val="30"/>
        </w:rPr>
      </w:pPr>
      <w:r>
        <w:rPr>
          <w:rFonts w:hint="eastAsia"/>
          <w:b/>
          <w:color w:val="auto"/>
          <w:sz w:val="30"/>
          <w:szCs w:val="30"/>
          <w:lang w:eastAsia="zh-CN"/>
        </w:rPr>
        <w:t>郁南县财政局工程造价咨询定点服务项目</w:t>
      </w:r>
      <w:r>
        <w:rPr>
          <w:rFonts w:hint="eastAsia" w:hAnsi="宋体"/>
          <w:b/>
          <w:color w:val="auto"/>
          <w:sz w:val="30"/>
          <w:szCs w:val="30"/>
        </w:rPr>
        <w:t>（编号：</w:t>
      </w:r>
      <w:r>
        <w:rPr>
          <w:rFonts w:hint="eastAsia" w:hAnsi="宋体"/>
          <w:b/>
          <w:color w:val="auto"/>
          <w:sz w:val="30"/>
          <w:szCs w:val="30"/>
          <w:lang w:eastAsia="zh-CN"/>
        </w:rPr>
        <w:t>GDXJ18FCS1005</w:t>
      </w:r>
      <w:r>
        <w:rPr>
          <w:rFonts w:hint="eastAsia" w:hAnsi="宋体"/>
          <w:b/>
          <w:color w:val="auto"/>
          <w:sz w:val="30"/>
          <w:szCs w:val="30"/>
        </w:rPr>
        <w:t>）初步评审细则表</w:t>
      </w:r>
    </w:p>
    <w:p>
      <w:pPr>
        <w:wordWrap w:val="0"/>
        <w:spacing w:line="360" w:lineRule="auto"/>
        <w:jc w:val="right"/>
        <w:rPr>
          <w:b/>
          <w:color w:val="auto"/>
          <w:szCs w:val="21"/>
        </w:rPr>
      </w:pPr>
      <w:r>
        <w:rPr>
          <w:rFonts w:hint="eastAsia"/>
          <w:b/>
          <w:color w:val="auto"/>
          <w:sz w:val="28"/>
        </w:rPr>
        <w:t xml:space="preserve">                            </w:t>
      </w:r>
      <w:r>
        <w:rPr>
          <w:rFonts w:hint="eastAsia"/>
          <w:b/>
          <w:color w:val="auto"/>
          <w:szCs w:val="21"/>
        </w:rPr>
        <w:t>评委签名：____________</w:t>
      </w:r>
    </w:p>
    <w:tbl>
      <w:tblPr>
        <w:tblStyle w:val="30"/>
        <w:tblW w:w="15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6"/>
        <w:gridCol w:w="6435"/>
        <w:gridCol w:w="1833"/>
        <w:gridCol w:w="1833"/>
        <w:gridCol w:w="1834"/>
        <w:gridCol w:w="1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2" w:hRule="atLeast"/>
          <w:jc w:val="center"/>
        </w:trPr>
        <w:tc>
          <w:tcPr>
            <w:tcW w:w="7891" w:type="dxa"/>
            <w:gridSpan w:val="2"/>
            <w:tcBorders>
              <w:tl2br w:val="single" w:color="auto" w:sz="4" w:space="0"/>
            </w:tcBorders>
            <w:vAlign w:val="center"/>
          </w:tcPr>
          <w:p>
            <w:pPr>
              <w:rPr>
                <w:rFonts w:ascii="宋体" w:hAnsi="宋体"/>
                <w:color w:val="auto"/>
              </w:rPr>
            </w:pPr>
            <w:r>
              <w:rPr>
                <w:rFonts w:hint="eastAsia" w:ascii="宋体" w:hAnsi="宋体"/>
                <w:color w:val="auto"/>
              </w:rPr>
              <w:t xml:space="preserve">                                                       报价单位</w:t>
            </w:r>
          </w:p>
          <w:p>
            <w:pPr>
              <w:rPr>
                <w:rFonts w:ascii="宋体" w:hAnsi="宋体"/>
                <w:color w:val="auto"/>
              </w:rPr>
            </w:pPr>
          </w:p>
          <w:p>
            <w:pPr>
              <w:rPr>
                <w:rFonts w:ascii="宋体" w:hAnsi="宋体"/>
                <w:color w:val="auto"/>
              </w:rPr>
            </w:pPr>
            <w:r>
              <w:rPr>
                <w:rFonts w:hint="eastAsia" w:ascii="宋体" w:hAnsi="宋体"/>
                <w:color w:val="auto"/>
              </w:rPr>
              <w:t xml:space="preserve">评审内容           </w:t>
            </w:r>
          </w:p>
        </w:tc>
        <w:tc>
          <w:tcPr>
            <w:tcW w:w="1833" w:type="dxa"/>
            <w:vAlign w:val="center"/>
          </w:tcPr>
          <w:p>
            <w:pPr>
              <w:jc w:val="center"/>
              <w:rPr>
                <w:rFonts w:ascii="宋体" w:hAnsi="宋体"/>
                <w:color w:val="auto"/>
              </w:rPr>
            </w:pPr>
          </w:p>
        </w:tc>
        <w:tc>
          <w:tcPr>
            <w:tcW w:w="1833" w:type="dxa"/>
            <w:vAlign w:val="center"/>
          </w:tcPr>
          <w:p>
            <w:pPr>
              <w:jc w:val="center"/>
              <w:rPr>
                <w:rFonts w:ascii="宋体" w:hAnsi="宋体"/>
                <w:color w:val="auto"/>
                <w:sz w:val="24"/>
              </w:rPr>
            </w:pPr>
          </w:p>
        </w:tc>
        <w:tc>
          <w:tcPr>
            <w:tcW w:w="1834" w:type="dxa"/>
            <w:vAlign w:val="center"/>
          </w:tcPr>
          <w:p>
            <w:pPr>
              <w:jc w:val="center"/>
              <w:rPr>
                <w:rFonts w:ascii="宋体" w:hAnsi="宋体"/>
                <w:color w:val="auto"/>
                <w:sz w:val="24"/>
              </w:rPr>
            </w:pPr>
          </w:p>
        </w:tc>
        <w:tc>
          <w:tcPr>
            <w:tcW w:w="1829" w:type="dxa"/>
            <w:vAlign w:val="center"/>
          </w:tcPr>
          <w:p>
            <w:pPr>
              <w:jc w:val="center"/>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3" w:hRule="atLeast"/>
          <w:jc w:val="center"/>
        </w:trPr>
        <w:tc>
          <w:tcPr>
            <w:tcW w:w="1456" w:type="dxa"/>
            <w:vAlign w:val="center"/>
          </w:tcPr>
          <w:p>
            <w:pPr>
              <w:jc w:val="both"/>
              <w:rPr>
                <w:rFonts w:ascii="宋体" w:hAnsi="宋体"/>
                <w:color w:val="auto"/>
              </w:rPr>
            </w:pPr>
            <w:r>
              <w:rPr>
                <w:rFonts w:hint="eastAsia" w:ascii="宋体" w:hAnsi="宋体" w:cs="宋体"/>
                <w:color w:val="auto"/>
                <w:szCs w:val="21"/>
              </w:rPr>
              <w:t>资格性审查</w:t>
            </w:r>
          </w:p>
        </w:tc>
        <w:tc>
          <w:tcPr>
            <w:tcW w:w="6435" w:type="dxa"/>
            <w:vAlign w:val="center"/>
          </w:tcPr>
          <w:p>
            <w:pPr>
              <w:jc w:val="both"/>
              <w:rPr>
                <w:rFonts w:ascii="宋体" w:hAnsi="宋体"/>
                <w:color w:val="auto"/>
              </w:rPr>
            </w:pPr>
            <w:r>
              <w:rPr>
                <w:rFonts w:hint="eastAsia" w:ascii="宋体" w:hAnsi="宋体"/>
                <w:color w:val="auto"/>
              </w:rPr>
              <w:t>与公告中</w:t>
            </w:r>
            <w:r>
              <w:rPr>
                <w:rFonts w:hint="eastAsia" w:ascii="宋体" w:hAnsi="宋体" w:cs="Tahoma"/>
                <w:color w:val="auto"/>
              </w:rPr>
              <w:t>合格报价人资格条件</w:t>
            </w:r>
            <w:r>
              <w:rPr>
                <w:rFonts w:hint="eastAsia" w:ascii="宋体" w:hAnsi="宋体"/>
                <w:color w:val="auto"/>
              </w:rPr>
              <w:t>要求一致</w:t>
            </w:r>
          </w:p>
        </w:tc>
        <w:tc>
          <w:tcPr>
            <w:tcW w:w="1833" w:type="dxa"/>
            <w:vAlign w:val="center"/>
          </w:tcPr>
          <w:p>
            <w:pPr>
              <w:jc w:val="center"/>
              <w:rPr>
                <w:rFonts w:ascii="宋体" w:hAnsi="宋体" w:cs="Arial"/>
                <w:color w:val="auto"/>
              </w:rPr>
            </w:pPr>
          </w:p>
        </w:tc>
        <w:tc>
          <w:tcPr>
            <w:tcW w:w="1833" w:type="dxa"/>
            <w:vAlign w:val="center"/>
          </w:tcPr>
          <w:p>
            <w:pPr>
              <w:jc w:val="center"/>
              <w:rPr>
                <w:rFonts w:ascii="宋体" w:hAnsi="宋体"/>
                <w:color w:val="auto"/>
              </w:rPr>
            </w:pPr>
          </w:p>
        </w:tc>
        <w:tc>
          <w:tcPr>
            <w:tcW w:w="1834" w:type="dxa"/>
            <w:vAlign w:val="center"/>
          </w:tcPr>
          <w:p>
            <w:pPr>
              <w:jc w:val="center"/>
              <w:rPr>
                <w:rFonts w:ascii="宋体" w:hAnsi="宋体"/>
                <w:color w:val="auto"/>
              </w:rPr>
            </w:pPr>
          </w:p>
        </w:tc>
        <w:tc>
          <w:tcPr>
            <w:tcW w:w="1829" w:type="dxa"/>
            <w:vAlign w:val="center"/>
          </w:tcPr>
          <w:p>
            <w:pPr>
              <w:jc w:val="cente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3" w:hRule="atLeast"/>
          <w:jc w:val="center"/>
        </w:trPr>
        <w:tc>
          <w:tcPr>
            <w:tcW w:w="15220" w:type="dxa"/>
            <w:gridSpan w:val="6"/>
            <w:vAlign w:val="center"/>
          </w:tcPr>
          <w:p>
            <w:pPr>
              <w:jc w:val="center"/>
              <w:rPr>
                <w:rFonts w:ascii="宋体" w:hAnsi="宋体"/>
                <w:color w:val="auto"/>
              </w:rPr>
            </w:pPr>
            <w:r>
              <w:rPr>
                <w:rFonts w:hint="eastAsia" w:ascii="宋体" w:hAnsi="宋体"/>
                <w:b/>
                <w:bCs/>
                <w:color w:val="auto"/>
              </w:rPr>
              <w:t>不能通过资格性审查的报价人，不需进行以下内容的审查。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jc w:val="center"/>
        </w:trPr>
        <w:tc>
          <w:tcPr>
            <w:tcW w:w="1456" w:type="dxa"/>
            <w:vMerge w:val="restart"/>
            <w:vAlign w:val="center"/>
          </w:tcPr>
          <w:p>
            <w:pPr>
              <w:jc w:val="both"/>
              <w:rPr>
                <w:rFonts w:ascii="宋体" w:hAnsi="宋体" w:cs="Arial"/>
                <w:color w:val="auto"/>
              </w:rPr>
            </w:pPr>
            <w:r>
              <w:rPr>
                <w:rFonts w:hint="eastAsia" w:ascii="宋体" w:hAnsi="宋体" w:cs="Arial"/>
                <w:color w:val="auto"/>
              </w:rPr>
              <w:t>符合性审查</w:t>
            </w:r>
          </w:p>
        </w:tc>
        <w:tc>
          <w:tcPr>
            <w:tcW w:w="6435" w:type="dxa"/>
            <w:vAlign w:val="center"/>
          </w:tcPr>
          <w:p>
            <w:pPr>
              <w:jc w:val="both"/>
              <w:rPr>
                <w:rFonts w:ascii="宋体" w:hAnsi="宋体"/>
                <w:color w:val="auto"/>
              </w:rPr>
            </w:pPr>
            <w:r>
              <w:rPr>
                <w:rFonts w:hint="eastAsia" w:ascii="宋体" w:hAnsi="宋体"/>
                <w:color w:val="auto"/>
              </w:rPr>
              <w:t>投标保证金是否已足额递交</w:t>
            </w:r>
          </w:p>
        </w:tc>
        <w:tc>
          <w:tcPr>
            <w:tcW w:w="1833" w:type="dxa"/>
            <w:vAlign w:val="center"/>
          </w:tcPr>
          <w:p>
            <w:pPr>
              <w:jc w:val="center"/>
              <w:rPr>
                <w:rFonts w:ascii="宋体" w:hAnsi="宋体"/>
                <w:color w:val="auto"/>
              </w:rPr>
            </w:pPr>
          </w:p>
        </w:tc>
        <w:tc>
          <w:tcPr>
            <w:tcW w:w="1833" w:type="dxa"/>
            <w:vAlign w:val="center"/>
          </w:tcPr>
          <w:p>
            <w:pPr>
              <w:jc w:val="center"/>
              <w:rPr>
                <w:rFonts w:ascii="宋体" w:hAnsi="宋体"/>
                <w:color w:val="auto"/>
              </w:rPr>
            </w:pPr>
          </w:p>
        </w:tc>
        <w:tc>
          <w:tcPr>
            <w:tcW w:w="1834" w:type="dxa"/>
            <w:vAlign w:val="center"/>
          </w:tcPr>
          <w:p>
            <w:pPr>
              <w:jc w:val="center"/>
              <w:rPr>
                <w:rFonts w:ascii="宋体" w:hAnsi="宋体"/>
                <w:color w:val="auto"/>
              </w:rPr>
            </w:pPr>
          </w:p>
        </w:tc>
        <w:tc>
          <w:tcPr>
            <w:tcW w:w="1829" w:type="dxa"/>
            <w:vAlign w:val="center"/>
          </w:tcPr>
          <w:p>
            <w:pPr>
              <w:jc w:val="cente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jc w:val="center"/>
        </w:trPr>
        <w:tc>
          <w:tcPr>
            <w:tcW w:w="1456" w:type="dxa"/>
            <w:vMerge w:val="continue"/>
            <w:vAlign w:val="center"/>
          </w:tcPr>
          <w:p>
            <w:pPr>
              <w:jc w:val="both"/>
              <w:rPr>
                <w:rFonts w:ascii="宋体" w:hAnsi="宋体"/>
                <w:color w:val="auto"/>
              </w:rPr>
            </w:pPr>
          </w:p>
        </w:tc>
        <w:tc>
          <w:tcPr>
            <w:tcW w:w="6435" w:type="dxa"/>
            <w:vAlign w:val="center"/>
          </w:tcPr>
          <w:p>
            <w:pPr>
              <w:jc w:val="both"/>
              <w:rPr>
                <w:rFonts w:ascii="宋体" w:hAnsi="宋体"/>
                <w:color w:val="auto"/>
              </w:rPr>
            </w:pPr>
            <w:r>
              <w:rPr>
                <w:rFonts w:hint="eastAsia" w:ascii="宋体" w:hAnsi="宋体"/>
                <w:color w:val="auto"/>
              </w:rPr>
              <w:t>报价文件完整、符合磋商文件规定的密封、签署、 盖章</w:t>
            </w:r>
          </w:p>
        </w:tc>
        <w:tc>
          <w:tcPr>
            <w:tcW w:w="1833" w:type="dxa"/>
            <w:vAlign w:val="center"/>
          </w:tcPr>
          <w:p>
            <w:pPr>
              <w:jc w:val="center"/>
              <w:rPr>
                <w:rFonts w:ascii="宋体" w:hAnsi="宋体"/>
                <w:color w:val="auto"/>
              </w:rPr>
            </w:pPr>
          </w:p>
        </w:tc>
        <w:tc>
          <w:tcPr>
            <w:tcW w:w="1833" w:type="dxa"/>
            <w:vAlign w:val="center"/>
          </w:tcPr>
          <w:p>
            <w:pPr>
              <w:jc w:val="center"/>
              <w:rPr>
                <w:rFonts w:ascii="宋体" w:hAnsi="宋体"/>
                <w:color w:val="auto"/>
              </w:rPr>
            </w:pPr>
          </w:p>
        </w:tc>
        <w:tc>
          <w:tcPr>
            <w:tcW w:w="1834" w:type="dxa"/>
            <w:vAlign w:val="center"/>
          </w:tcPr>
          <w:p>
            <w:pPr>
              <w:jc w:val="center"/>
              <w:rPr>
                <w:rFonts w:ascii="宋体" w:hAnsi="宋体"/>
                <w:color w:val="auto"/>
              </w:rPr>
            </w:pPr>
          </w:p>
        </w:tc>
        <w:tc>
          <w:tcPr>
            <w:tcW w:w="1829" w:type="dxa"/>
            <w:vAlign w:val="center"/>
          </w:tcPr>
          <w:p>
            <w:pPr>
              <w:jc w:val="cente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jc w:val="center"/>
        </w:trPr>
        <w:tc>
          <w:tcPr>
            <w:tcW w:w="1456" w:type="dxa"/>
            <w:vMerge w:val="continue"/>
            <w:vAlign w:val="center"/>
          </w:tcPr>
          <w:p>
            <w:pPr>
              <w:jc w:val="both"/>
              <w:rPr>
                <w:rFonts w:ascii="宋体" w:hAnsi="宋体"/>
                <w:color w:val="auto"/>
              </w:rPr>
            </w:pPr>
          </w:p>
        </w:tc>
        <w:tc>
          <w:tcPr>
            <w:tcW w:w="6435" w:type="dxa"/>
            <w:vAlign w:val="center"/>
          </w:tcPr>
          <w:p>
            <w:pPr>
              <w:jc w:val="both"/>
              <w:rPr>
                <w:rFonts w:ascii="宋体" w:hAnsi="宋体"/>
                <w:color w:val="auto"/>
              </w:rPr>
            </w:pPr>
            <w:r>
              <w:rPr>
                <w:rFonts w:hint="eastAsia" w:ascii="宋体" w:hAnsi="宋体"/>
                <w:color w:val="auto"/>
              </w:rPr>
              <w:t>投标有效期是否为90天</w:t>
            </w:r>
          </w:p>
        </w:tc>
        <w:tc>
          <w:tcPr>
            <w:tcW w:w="1833" w:type="dxa"/>
            <w:vAlign w:val="center"/>
          </w:tcPr>
          <w:p>
            <w:pPr>
              <w:jc w:val="center"/>
              <w:rPr>
                <w:rFonts w:ascii="宋体" w:hAnsi="宋体"/>
                <w:color w:val="auto"/>
              </w:rPr>
            </w:pPr>
          </w:p>
        </w:tc>
        <w:tc>
          <w:tcPr>
            <w:tcW w:w="1833" w:type="dxa"/>
            <w:vAlign w:val="center"/>
          </w:tcPr>
          <w:p>
            <w:pPr>
              <w:jc w:val="center"/>
              <w:rPr>
                <w:rFonts w:ascii="宋体" w:hAnsi="宋体"/>
                <w:color w:val="auto"/>
              </w:rPr>
            </w:pPr>
          </w:p>
        </w:tc>
        <w:tc>
          <w:tcPr>
            <w:tcW w:w="1834" w:type="dxa"/>
            <w:vAlign w:val="center"/>
          </w:tcPr>
          <w:p>
            <w:pPr>
              <w:jc w:val="center"/>
              <w:rPr>
                <w:rFonts w:ascii="宋体" w:hAnsi="宋体"/>
                <w:color w:val="auto"/>
              </w:rPr>
            </w:pPr>
          </w:p>
        </w:tc>
        <w:tc>
          <w:tcPr>
            <w:tcW w:w="1829" w:type="dxa"/>
            <w:vAlign w:val="center"/>
          </w:tcPr>
          <w:p>
            <w:pPr>
              <w:jc w:val="cente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jc w:val="center"/>
        </w:trPr>
        <w:tc>
          <w:tcPr>
            <w:tcW w:w="1456" w:type="dxa"/>
            <w:vMerge w:val="continue"/>
            <w:vAlign w:val="center"/>
          </w:tcPr>
          <w:p>
            <w:pPr>
              <w:jc w:val="both"/>
              <w:rPr>
                <w:rFonts w:ascii="宋体" w:hAnsi="宋体"/>
                <w:color w:val="auto"/>
              </w:rPr>
            </w:pPr>
          </w:p>
        </w:tc>
        <w:tc>
          <w:tcPr>
            <w:tcW w:w="6435" w:type="dxa"/>
            <w:vAlign w:val="center"/>
          </w:tcPr>
          <w:p>
            <w:pPr>
              <w:jc w:val="both"/>
              <w:rPr>
                <w:rFonts w:ascii="宋体" w:hAnsi="宋体"/>
                <w:color w:val="auto"/>
              </w:rPr>
            </w:pPr>
            <w:r>
              <w:rPr>
                <w:rFonts w:hint="eastAsia" w:ascii="宋体" w:hAnsi="宋体"/>
                <w:color w:val="auto"/>
                <w:lang w:val="en-US" w:eastAsia="zh-CN"/>
              </w:rPr>
              <w:t>服务</w:t>
            </w:r>
            <w:r>
              <w:rPr>
                <w:rFonts w:hint="eastAsia" w:ascii="宋体" w:hAnsi="宋体"/>
                <w:color w:val="auto"/>
              </w:rPr>
              <w:t>商务没有重大偏离或保留</w:t>
            </w:r>
          </w:p>
        </w:tc>
        <w:tc>
          <w:tcPr>
            <w:tcW w:w="1833" w:type="dxa"/>
            <w:vAlign w:val="center"/>
          </w:tcPr>
          <w:p>
            <w:pPr>
              <w:jc w:val="center"/>
              <w:rPr>
                <w:rFonts w:ascii="宋体" w:hAnsi="宋体"/>
                <w:color w:val="auto"/>
              </w:rPr>
            </w:pPr>
          </w:p>
        </w:tc>
        <w:tc>
          <w:tcPr>
            <w:tcW w:w="1833" w:type="dxa"/>
            <w:vAlign w:val="center"/>
          </w:tcPr>
          <w:p>
            <w:pPr>
              <w:jc w:val="center"/>
              <w:rPr>
                <w:rFonts w:ascii="宋体" w:hAnsi="宋体"/>
                <w:color w:val="auto"/>
              </w:rPr>
            </w:pPr>
          </w:p>
        </w:tc>
        <w:tc>
          <w:tcPr>
            <w:tcW w:w="1834" w:type="dxa"/>
            <w:vAlign w:val="center"/>
          </w:tcPr>
          <w:p>
            <w:pPr>
              <w:jc w:val="center"/>
              <w:rPr>
                <w:rFonts w:ascii="宋体" w:hAnsi="宋体"/>
                <w:color w:val="auto"/>
              </w:rPr>
            </w:pPr>
          </w:p>
        </w:tc>
        <w:tc>
          <w:tcPr>
            <w:tcW w:w="1829" w:type="dxa"/>
            <w:vAlign w:val="center"/>
          </w:tcPr>
          <w:p>
            <w:pPr>
              <w:jc w:val="cente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jc w:val="center"/>
        </w:trPr>
        <w:tc>
          <w:tcPr>
            <w:tcW w:w="1456" w:type="dxa"/>
            <w:vMerge w:val="continue"/>
            <w:vAlign w:val="center"/>
          </w:tcPr>
          <w:p>
            <w:pPr>
              <w:jc w:val="both"/>
              <w:rPr>
                <w:rFonts w:ascii="宋体" w:hAnsi="宋体"/>
                <w:color w:val="auto"/>
              </w:rPr>
            </w:pPr>
          </w:p>
        </w:tc>
        <w:tc>
          <w:tcPr>
            <w:tcW w:w="6435" w:type="dxa"/>
            <w:vAlign w:val="center"/>
          </w:tcPr>
          <w:p>
            <w:pPr>
              <w:jc w:val="both"/>
              <w:rPr>
                <w:rFonts w:ascii="宋体" w:hAnsi="宋体"/>
                <w:color w:val="auto"/>
              </w:rPr>
            </w:pPr>
            <w:r>
              <w:rPr>
                <w:rFonts w:hint="eastAsia" w:ascii="宋体" w:hAnsi="宋体" w:cs="Tahoma"/>
                <w:color w:val="auto"/>
                <w:kern w:val="28"/>
              </w:rPr>
              <w:t>是否满足《用户需求书》中功能要求、质量指标和服务要求</w:t>
            </w:r>
          </w:p>
        </w:tc>
        <w:tc>
          <w:tcPr>
            <w:tcW w:w="1833" w:type="dxa"/>
            <w:vAlign w:val="center"/>
          </w:tcPr>
          <w:p>
            <w:pPr>
              <w:jc w:val="center"/>
              <w:rPr>
                <w:rFonts w:ascii="宋体" w:hAnsi="宋体"/>
                <w:color w:val="auto"/>
              </w:rPr>
            </w:pPr>
          </w:p>
        </w:tc>
        <w:tc>
          <w:tcPr>
            <w:tcW w:w="1833" w:type="dxa"/>
            <w:vAlign w:val="center"/>
          </w:tcPr>
          <w:p>
            <w:pPr>
              <w:jc w:val="center"/>
              <w:rPr>
                <w:rFonts w:ascii="宋体" w:hAnsi="宋体"/>
                <w:color w:val="auto"/>
              </w:rPr>
            </w:pPr>
          </w:p>
        </w:tc>
        <w:tc>
          <w:tcPr>
            <w:tcW w:w="1834" w:type="dxa"/>
            <w:vAlign w:val="center"/>
          </w:tcPr>
          <w:p>
            <w:pPr>
              <w:jc w:val="center"/>
              <w:rPr>
                <w:rFonts w:ascii="宋体" w:hAnsi="宋体"/>
                <w:color w:val="auto"/>
              </w:rPr>
            </w:pPr>
          </w:p>
        </w:tc>
        <w:tc>
          <w:tcPr>
            <w:tcW w:w="1829" w:type="dxa"/>
            <w:vAlign w:val="center"/>
          </w:tcPr>
          <w:p>
            <w:pPr>
              <w:jc w:val="cente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jc w:val="center"/>
        </w:trPr>
        <w:tc>
          <w:tcPr>
            <w:tcW w:w="1456" w:type="dxa"/>
            <w:vMerge w:val="continue"/>
            <w:vAlign w:val="center"/>
          </w:tcPr>
          <w:p>
            <w:pPr>
              <w:jc w:val="both"/>
              <w:rPr>
                <w:rFonts w:ascii="宋体" w:hAnsi="宋体"/>
                <w:color w:val="auto"/>
              </w:rPr>
            </w:pPr>
          </w:p>
        </w:tc>
        <w:tc>
          <w:tcPr>
            <w:tcW w:w="6435" w:type="dxa"/>
            <w:vAlign w:val="center"/>
          </w:tcPr>
          <w:p>
            <w:pPr>
              <w:jc w:val="both"/>
              <w:rPr>
                <w:rFonts w:ascii="宋体" w:hAnsi="宋体"/>
                <w:color w:val="auto"/>
              </w:rPr>
            </w:pPr>
            <w:r>
              <w:rPr>
                <w:rFonts w:hint="eastAsia" w:ascii="宋体" w:hAnsi="宋体"/>
                <w:color w:val="auto"/>
              </w:rPr>
              <w:t>没有其它未实质性响应磋商文件的要求</w:t>
            </w:r>
          </w:p>
        </w:tc>
        <w:tc>
          <w:tcPr>
            <w:tcW w:w="1833" w:type="dxa"/>
            <w:vAlign w:val="center"/>
          </w:tcPr>
          <w:p>
            <w:pPr>
              <w:jc w:val="center"/>
              <w:rPr>
                <w:rFonts w:ascii="宋体" w:hAnsi="宋体"/>
                <w:color w:val="auto"/>
              </w:rPr>
            </w:pPr>
          </w:p>
        </w:tc>
        <w:tc>
          <w:tcPr>
            <w:tcW w:w="1833" w:type="dxa"/>
            <w:vAlign w:val="center"/>
          </w:tcPr>
          <w:p>
            <w:pPr>
              <w:jc w:val="center"/>
              <w:rPr>
                <w:rFonts w:ascii="宋体" w:hAnsi="宋体"/>
                <w:color w:val="auto"/>
              </w:rPr>
            </w:pPr>
          </w:p>
        </w:tc>
        <w:tc>
          <w:tcPr>
            <w:tcW w:w="1834" w:type="dxa"/>
            <w:vAlign w:val="center"/>
          </w:tcPr>
          <w:p>
            <w:pPr>
              <w:jc w:val="center"/>
              <w:rPr>
                <w:rFonts w:ascii="宋体" w:hAnsi="宋体"/>
                <w:color w:val="auto"/>
              </w:rPr>
            </w:pPr>
          </w:p>
        </w:tc>
        <w:tc>
          <w:tcPr>
            <w:tcW w:w="1829" w:type="dxa"/>
            <w:vAlign w:val="center"/>
          </w:tcPr>
          <w:p>
            <w:pPr>
              <w:jc w:val="center"/>
              <w:rPr>
                <w:rFonts w:ascii="宋体" w:hAnsi="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4" w:hRule="atLeast"/>
          <w:jc w:val="center"/>
        </w:trPr>
        <w:tc>
          <w:tcPr>
            <w:tcW w:w="7891" w:type="dxa"/>
            <w:gridSpan w:val="2"/>
            <w:vAlign w:val="center"/>
          </w:tcPr>
          <w:p>
            <w:pPr>
              <w:jc w:val="center"/>
              <w:rPr>
                <w:rFonts w:ascii="宋体" w:hAnsi="宋体"/>
                <w:b/>
                <w:color w:val="auto"/>
              </w:rPr>
            </w:pPr>
            <w:r>
              <w:rPr>
                <w:rFonts w:hint="eastAsia" w:ascii="宋体" w:hAnsi="宋体"/>
                <w:b/>
                <w:color w:val="auto"/>
              </w:rPr>
              <w:t>结         论</w:t>
            </w:r>
          </w:p>
        </w:tc>
        <w:tc>
          <w:tcPr>
            <w:tcW w:w="1833" w:type="dxa"/>
            <w:vAlign w:val="center"/>
          </w:tcPr>
          <w:p>
            <w:pPr>
              <w:jc w:val="center"/>
              <w:rPr>
                <w:rFonts w:ascii="宋体" w:hAnsi="宋体"/>
                <w:color w:val="auto"/>
              </w:rPr>
            </w:pPr>
          </w:p>
        </w:tc>
        <w:tc>
          <w:tcPr>
            <w:tcW w:w="1833" w:type="dxa"/>
            <w:vAlign w:val="center"/>
          </w:tcPr>
          <w:p>
            <w:pPr>
              <w:jc w:val="center"/>
              <w:rPr>
                <w:rFonts w:ascii="宋体" w:hAnsi="宋体"/>
                <w:color w:val="auto"/>
              </w:rPr>
            </w:pPr>
          </w:p>
        </w:tc>
        <w:tc>
          <w:tcPr>
            <w:tcW w:w="1834" w:type="dxa"/>
            <w:vAlign w:val="center"/>
          </w:tcPr>
          <w:p>
            <w:pPr>
              <w:jc w:val="center"/>
              <w:rPr>
                <w:rFonts w:ascii="宋体" w:hAnsi="宋体"/>
                <w:color w:val="auto"/>
              </w:rPr>
            </w:pPr>
          </w:p>
        </w:tc>
        <w:tc>
          <w:tcPr>
            <w:tcW w:w="1829" w:type="dxa"/>
            <w:vAlign w:val="center"/>
          </w:tcPr>
          <w:p>
            <w:pPr>
              <w:jc w:val="center"/>
              <w:rPr>
                <w:rFonts w:ascii="宋体" w:hAnsi="宋体"/>
                <w:color w:val="auto"/>
              </w:rPr>
            </w:pPr>
          </w:p>
        </w:tc>
      </w:tr>
    </w:tbl>
    <w:p>
      <w:pPr>
        <w:spacing w:line="360" w:lineRule="auto"/>
        <w:rPr>
          <w:color w:val="auto"/>
        </w:rPr>
      </w:pPr>
      <w:r>
        <w:rPr>
          <w:rFonts w:hint="eastAsia"/>
          <w:color w:val="auto"/>
        </w:rPr>
        <w:t>1．表中只需填写“√</w:t>
      </w:r>
      <w:r>
        <w:rPr>
          <w:color w:val="auto"/>
        </w:rPr>
        <w:t>/</w:t>
      </w:r>
      <w:r>
        <w:rPr>
          <w:rFonts w:hint="eastAsia"/>
          <w:color w:val="auto"/>
        </w:rPr>
        <w:t>通过”或“X/不通过”</w:t>
      </w:r>
    </w:p>
    <w:p>
      <w:pPr>
        <w:spacing w:line="360" w:lineRule="auto"/>
        <w:rPr>
          <w:color w:val="auto"/>
        </w:rPr>
      </w:pPr>
      <w:r>
        <w:rPr>
          <w:rFonts w:hint="eastAsia"/>
          <w:color w:val="auto"/>
        </w:rPr>
        <w:t>2．在结论栏中按“一票否决”填写“合格”或“不合格”。</w:t>
      </w:r>
    </w:p>
    <w:p>
      <w:pPr>
        <w:spacing w:line="360" w:lineRule="auto"/>
        <w:jc w:val="center"/>
        <w:rPr>
          <w:rFonts w:ascii="宋体" w:hAnsi="宋体"/>
          <w:b/>
          <w:color w:val="auto"/>
          <w:sz w:val="24"/>
          <w:szCs w:val="24"/>
        </w:rPr>
      </w:pPr>
      <w:r>
        <w:rPr>
          <w:rFonts w:hint="eastAsia"/>
          <w:color w:val="auto"/>
        </w:rPr>
        <w:br w:type="page"/>
      </w:r>
      <w:r>
        <w:rPr>
          <w:rFonts w:hint="eastAsia" w:ascii="宋体" w:hAnsi="宋体"/>
          <w:b/>
          <w:color w:val="auto"/>
          <w:sz w:val="24"/>
          <w:szCs w:val="24"/>
          <w:lang w:eastAsia="zh-CN"/>
        </w:rPr>
        <w:t>郁南县财政局工程造价咨询定点服务项目</w:t>
      </w:r>
      <w:r>
        <w:rPr>
          <w:rFonts w:hint="eastAsia" w:ascii="宋体" w:hAnsi="宋体"/>
          <w:b/>
          <w:color w:val="auto"/>
          <w:sz w:val="24"/>
          <w:szCs w:val="24"/>
        </w:rPr>
        <w:t>（编号：</w:t>
      </w:r>
      <w:r>
        <w:rPr>
          <w:rFonts w:hint="eastAsia" w:ascii="宋体" w:hAnsi="宋体"/>
          <w:b/>
          <w:color w:val="auto"/>
          <w:sz w:val="24"/>
          <w:szCs w:val="24"/>
          <w:lang w:eastAsia="zh-CN"/>
        </w:rPr>
        <w:t>GDXJ18FCS1005</w:t>
      </w:r>
      <w:r>
        <w:rPr>
          <w:rFonts w:hint="eastAsia" w:ascii="宋体" w:hAnsi="宋体"/>
          <w:b/>
          <w:color w:val="auto"/>
          <w:sz w:val="24"/>
          <w:szCs w:val="24"/>
        </w:rPr>
        <w:t>）</w:t>
      </w:r>
      <w:r>
        <w:rPr>
          <w:rFonts w:hint="eastAsia"/>
          <w:b/>
          <w:color w:val="auto"/>
          <w:sz w:val="24"/>
          <w:szCs w:val="24"/>
        </w:rPr>
        <w:t>服务商务评分表</w:t>
      </w:r>
    </w:p>
    <w:p>
      <w:pPr>
        <w:wordWrap w:val="0"/>
        <w:snapToGrid w:val="0"/>
        <w:spacing w:after="60"/>
        <w:jc w:val="right"/>
        <w:rPr>
          <w:b/>
          <w:color w:val="auto"/>
          <w:szCs w:val="21"/>
        </w:rPr>
      </w:pPr>
      <w:r>
        <w:rPr>
          <w:rFonts w:hint="eastAsia"/>
          <w:b/>
          <w:color w:val="auto"/>
          <w:sz w:val="28"/>
        </w:rPr>
        <w:t xml:space="preserve">                          </w:t>
      </w:r>
      <w:r>
        <w:rPr>
          <w:rFonts w:hint="eastAsia"/>
          <w:b/>
          <w:color w:val="auto"/>
          <w:szCs w:val="21"/>
        </w:rPr>
        <w:t xml:space="preserve">  评委签名：____________</w:t>
      </w:r>
    </w:p>
    <w:tbl>
      <w:tblPr>
        <w:tblStyle w:val="30"/>
        <w:tblW w:w="1412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2"/>
        <w:gridCol w:w="1640"/>
        <w:gridCol w:w="10106"/>
        <w:gridCol w:w="913"/>
        <w:gridCol w:w="9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4" w:hRule="atLeast"/>
          <w:jc w:val="center"/>
        </w:trPr>
        <w:tc>
          <w:tcPr>
            <w:tcW w:w="12298" w:type="dxa"/>
            <w:gridSpan w:val="3"/>
            <w:vAlign w:val="center"/>
            <mc:AlternateContent>
              <mc:Choice Requires="wpsCustomData">
                <wpsCustomData:diagonals>
                  <wpsCustomData:diagonal from="10000" to="30000">
                    <wpsCustomData:border w:val="single" w:color="auto" w:sz="4" w:space="0"/>
                  </wpsCustomData:diagonal>
                </wpsCustomData:diagonals>
              </mc:Choice>
            </mc:AlternateContent>
          </w:tcPr>
          <w:p>
            <w:pPr>
              <w:snapToGrid w:val="0"/>
              <w:jc w:val="center"/>
              <w:rPr>
                <w:rFonts w:hint="eastAsia" w:ascii="宋体" w:hAnsi="宋体"/>
                <w:b/>
                <w:color w:val="auto"/>
                <w:sz w:val="18"/>
                <w:szCs w:val="18"/>
              </w:rPr>
            </w:pPr>
          </w:p>
          <w:p>
            <w:pPr>
              <w:snapToGrid w:val="0"/>
              <w:jc w:val="center"/>
              <w:rPr>
                <w:rFonts w:hint="eastAsia" w:ascii="宋体" w:hAnsi="宋体"/>
                <w:b/>
                <w:color w:val="auto"/>
                <w:sz w:val="18"/>
                <w:szCs w:val="18"/>
              </w:rPr>
            </w:pPr>
          </w:p>
          <w:p>
            <w:pPr>
              <w:snapToGrid w:val="0"/>
              <w:jc w:val="center"/>
              <w:rPr>
                <w:rFonts w:hint="eastAsia" w:ascii="宋体" w:hAnsi="宋体"/>
                <w:b/>
                <w:color w:val="auto"/>
                <w:sz w:val="18"/>
                <w:szCs w:val="18"/>
              </w:rPr>
            </w:pPr>
          </w:p>
          <w:p>
            <w:pPr>
              <w:snapToGrid w:val="0"/>
              <w:jc w:val="both"/>
              <mc:AlternateContent>
                <mc:Choice Requires="wpsCustomData">
                  <wpsCustomData:diagonalParaType/>
                </mc:Choice>
              </mc:AlternateContent>
              <w:rPr>
                <w:rFonts w:hint="eastAsia" w:ascii="宋体" w:hAnsi="宋体" w:eastAsia="宋体"/>
                <w:b/>
                <w:color w:val="auto"/>
                <w:sz w:val="18"/>
                <w:szCs w:val="18"/>
                <w:lang w:eastAsia="zh-CN"/>
              </w:rPr>
            </w:pPr>
            <w:r>
              <w:rPr>
                <w:rFonts w:hint="eastAsia" w:ascii="宋体" w:hAnsi="宋体"/>
                <w:b/>
                <w:color w:val="auto"/>
                <w:sz w:val="18"/>
                <w:szCs w:val="18"/>
                <w:lang w:eastAsia="zh-CN"/>
              </w:rPr>
              <w:t>评审内容</w:t>
            </w:r>
          </w:p>
          <w:p>
            <w:pPr>
              <w:jc w:val="right"/>
              <w:rPr>
                <w:rFonts w:hint="eastAsia" w:ascii="宋体" w:hAnsi="宋体" w:eastAsia="宋体"/>
                <w:b/>
                <w:color w:val="auto"/>
                <w:sz w:val="18"/>
                <w:szCs w:val="18"/>
                <w:lang w:eastAsia="zh-CN"/>
              </w:rPr>
            </w:pPr>
            <w:r>
              <w:rPr>
                <w:rFonts w:hint="eastAsia" w:ascii="宋体" w:hAnsi="宋体"/>
                <w:b/>
                <w:color w:val="auto"/>
                <w:sz w:val="18"/>
                <w:szCs w:val="18"/>
                <w:lang w:eastAsia="zh-CN"/>
              </w:rPr>
              <w:t>报价人</w:t>
            </w:r>
          </w:p>
        </w:tc>
        <w:tc>
          <w:tcPr>
            <w:tcW w:w="913" w:type="dxa"/>
            <w:vAlign w:val="center"/>
          </w:tcPr>
          <w:p>
            <w:pPr>
              <w:jc w:val="center"/>
              <w:rPr>
                <w:rFonts w:hint="eastAsia" w:ascii="宋体" w:hAnsi="宋体"/>
                <w:b/>
                <w:color w:val="auto"/>
                <w:sz w:val="18"/>
                <w:szCs w:val="18"/>
              </w:rPr>
            </w:pPr>
            <w:r>
              <w:rPr>
                <w:rFonts w:hint="eastAsia" w:ascii="宋体" w:hAnsi="宋体"/>
                <w:b/>
                <w:color w:val="auto"/>
                <w:sz w:val="18"/>
                <w:szCs w:val="18"/>
              </w:rPr>
              <w:t>分值</w:t>
            </w:r>
          </w:p>
        </w:tc>
        <w:tc>
          <w:tcPr>
            <w:tcW w:w="913" w:type="dxa"/>
            <w:vAlign w:val="center"/>
          </w:tcPr>
          <w:p>
            <w:pPr>
              <w:jc w:val="center"/>
              <w:rPr>
                <w:rFonts w:hint="eastAsia" w:ascii="宋体" w:hAnsi="宋体" w:eastAsia="宋体"/>
                <w:b/>
                <w:color w:val="auto"/>
                <w:sz w:val="18"/>
                <w:szCs w:val="18"/>
                <w:lang w:eastAsia="zh-CN"/>
              </w:rPr>
            </w:pPr>
            <w:r>
              <w:rPr>
                <w:rFonts w:hint="eastAsia" w:ascii="宋体" w:hAnsi="宋体"/>
                <w:b/>
                <w:color w:val="auto"/>
                <w:sz w:val="18"/>
                <w:szCs w:val="18"/>
                <w:lang w:eastAsia="zh-CN"/>
              </w:rPr>
              <w:t>报价人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jc w:val="center"/>
        </w:trPr>
        <w:tc>
          <w:tcPr>
            <w:tcW w:w="552" w:type="dxa"/>
            <w:vAlign w:val="center"/>
          </w:tcPr>
          <w:p>
            <w:pPr>
              <w:jc w:val="center"/>
              <w:rPr>
                <w:rFonts w:hint="eastAsia" w:ascii="宋体" w:hAnsi="宋体" w:eastAsia="宋体"/>
                <w:color w:val="auto"/>
                <w:sz w:val="18"/>
                <w:szCs w:val="18"/>
                <w:lang w:val="en-US" w:eastAsia="zh-CN"/>
              </w:rPr>
            </w:pPr>
            <w:r>
              <w:rPr>
                <w:rFonts w:hint="eastAsia" w:ascii="宋体" w:hAnsi="宋体"/>
                <w:color w:val="auto"/>
                <w:sz w:val="18"/>
                <w:szCs w:val="18"/>
                <w:lang w:val="en-US" w:eastAsia="zh-CN"/>
              </w:rPr>
              <w:t>1</w:t>
            </w:r>
          </w:p>
        </w:tc>
        <w:tc>
          <w:tcPr>
            <w:tcW w:w="1640" w:type="dxa"/>
            <w:vAlign w:val="center"/>
          </w:tcPr>
          <w:p>
            <w:pPr>
              <w:jc w:val="center"/>
              <w:rPr>
                <w:rFonts w:hint="eastAsia"/>
                <w:color w:val="auto"/>
              </w:rPr>
            </w:pPr>
            <w:r>
              <w:rPr>
                <w:rFonts w:hint="eastAsia" w:ascii="宋体" w:hAnsi="宋体" w:eastAsia="宋体" w:cs="宋体"/>
                <w:color w:val="auto"/>
                <w:sz w:val="21"/>
                <w:szCs w:val="21"/>
              </w:rPr>
              <w:t>标书的制作情况</w:t>
            </w:r>
          </w:p>
        </w:tc>
        <w:tc>
          <w:tcPr>
            <w:tcW w:w="10106" w:type="dxa"/>
            <w:vAlign w:val="center"/>
          </w:tcPr>
          <w:p>
            <w:pPr>
              <w:rPr>
                <w:rFonts w:hint="eastAsia"/>
                <w:color w:val="auto"/>
              </w:rPr>
            </w:pPr>
            <w:r>
              <w:rPr>
                <w:rFonts w:hint="eastAsia" w:ascii="宋体" w:hAnsi="宋体" w:eastAsia="宋体" w:cs="宋体"/>
                <w:color w:val="auto"/>
                <w:sz w:val="21"/>
                <w:szCs w:val="21"/>
              </w:rPr>
              <w:t>投标文件按招标文件规定的格式、顺序编制，有目录、编页码，装订成册，书面整洁无涂改，没有缺漏项，价格数量等计算准确进行综合横向对比：</w:t>
            </w:r>
            <w:r>
              <w:rPr>
                <w:rFonts w:hint="eastAsia" w:ascii="宋体" w:hAnsi="宋体" w:eastAsia="宋体" w:cs="宋体"/>
                <w:color w:val="auto"/>
                <w:sz w:val="21"/>
                <w:szCs w:val="21"/>
                <w:lang w:val="en-US" w:eastAsia="zh-CN"/>
              </w:rPr>
              <w:t>优得5-4分；良得3-2分；差得1-0分</w:t>
            </w:r>
            <w:r>
              <w:rPr>
                <w:rFonts w:hint="eastAsia" w:ascii="宋体" w:hAnsi="宋体" w:eastAsia="宋体" w:cs="宋体"/>
                <w:color w:val="auto"/>
                <w:sz w:val="21"/>
                <w:szCs w:val="21"/>
              </w:rPr>
              <w:t>。</w:t>
            </w:r>
          </w:p>
        </w:tc>
        <w:tc>
          <w:tcPr>
            <w:tcW w:w="913" w:type="dxa"/>
            <w:vAlign w:val="center"/>
          </w:tcPr>
          <w:p>
            <w:pPr>
              <w:jc w:val="center"/>
              <w:rPr>
                <w:rFonts w:hint="eastAsia"/>
                <w:color w:val="auto"/>
              </w:rPr>
            </w:pPr>
            <w:r>
              <w:rPr>
                <w:rFonts w:hint="eastAsia" w:ascii="宋体" w:hAnsi="宋体" w:eastAsia="宋体" w:cs="宋体"/>
                <w:color w:val="auto"/>
                <w:sz w:val="21"/>
                <w:szCs w:val="21"/>
                <w:lang w:val="en-US" w:eastAsia="zh-CN"/>
              </w:rPr>
              <w:t>5</w:t>
            </w:r>
          </w:p>
        </w:tc>
        <w:tc>
          <w:tcPr>
            <w:tcW w:w="913" w:type="dxa"/>
            <w:vAlign w:val="center"/>
          </w:tcPr>
          <w:p>
            <w:pPr>
              <w:jc w:val="center"/>
              <w:rPr>
                <w:rFonts w:hint="eastAsia" w:ascii="宋体" w:hAnsi="宋体"/>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jc w:val="center"/>
        </w:trPr>
        <w:tc>
          <w:tcPr>
            <w:tcW w:w="552" w:type="dxa"/>
            <w:vMerge w:val="restart"/>
            <w:vAlign w:val="center"/>
          </w:tcPr>
          <w:p>
            <w:pPr>
              <w:jc w:val="center"/>
              <w:rPr>
                <w:rFonts w:hint="eastAsia" w:ascii="宋体" w:hAnsi="宋体" w:eastAsia="宋体"/>
                <w:color w:val="auto"/>
                <w:sz w:val="18"/>
                <w:szCs w:val="18"/>
                <w:lang w:eastAsia="zh-CN"/>
              </w:rPr>
            </w:pPr>
            <w:r>
              <w:rPr>
                <w:rFonts w:hint="eastAsia" w:ascii="宋体" w:hAnsi="宋体"/>
                <w:color w:val="auto"/>
                <w:sz w:val="18"/>
                <w:szCs w:val="18"/>
                <w:lang w:val="en-US" w:eastAsia="zh-CN"/>
              </w:rPr>
              <w:t>2</w:t>
            </w:r>
          </w:p>
        </w:tc>
        <w:tc>
          <w:tcPr>
            <w:tcW w:w="1640" w:type="dxa"/>
            <w:vMerge w:val="restart"/>
            <w:vAlign w:val="center"/>
          </w:tcPr>
          <w:p>
            <w:pPr>
              <w:rPr>
                <w:rFonts w:hint="eastAsia"/>
                <w:color w:val="auto"/>
              </w:rPr>
            </w:pPr>
            <w:r>
              <w:rPr>
                <w:rFonts w:hint="eastAsia"/>
                <w:color w:val="auto"/>
              </w:rPr>
              <w:t>从事本项目人员</w:t>
            </w:r>
          </w:p>
        </w:tc>
        <w:tc>
          <w:tcPr>
            <w:tcW w:w="10106" w:type="dxa"/>
            <w:vAlign w:val="center"/>
          </w:tcPr>
          <w:p>
            <w:pPr>
              <w:rPr>
                <w:rFonts w:hint="eastAsia"/>
                <w:color w:val="auto"/>
              </w:rPr>
            </w:pPr>
            <w:r>
              <w:rPr>
                <w:rFonts w:hint="eastAsia"/>
                <w:color w:val="auto"/>
              </w:rPr>
              <w:t>1、</w:t>
            </w:r>
            <w:r>
              <w:rPr>
                <w:rFonts w:hint="eastAsia"/>
                <w:color w:val="auto"/>
                <w:lang w:eastAsia="zh-CN"/>
              </w:rPr>
              <w:t>报价人</w:t>
            </w:r>
            <w:r>
              <w:rPr>
                <w:rFonts w:hint="eastAsia"/>
                <w:color w:val="auto"/>
              </w:rPr>
              <w:t>综合技术力量评审，满分共</w:t>
            </w:r>
            <w:r>
              <w:rPr>
                <w:rFonts w:hint="eastAsia"/>
                <w:color w:val="auto"/>
                <w:lang w:val="en-US" w:eastAsia="zh-CN"/>
              </w:rPr>
              <w:t>20</w:t>
            </w:r>
            <w:r>
              <w:rPr>
                <w:rFonts w:hint="eastAsia"/>
                <w:color w:val="auto"/>
              </w:rPr>
              <w:t>分。</w:t>
            </w:r>
          </w:p>
          <w:p>
            <w:pPr>
              <w:rPr>
                <w:rFonts w:hint="eastAsia"/>
                <w:color w:val="auto"/>
              </w:rPr>
            </w:pPr>
            <w:r>
              <w:rPr>
                <w:rFonts w:hint="eastAsia"/>
                <w:color w:val="auto"/>
              </w:rPr>
              <w:t>① 具备注册造价工程师资格，每人得</w:t>
            </w:r>
            <w:r>
              <w:rPr>
                <w:rFonts w:hint="eastAsia"/>
                <w:color w:val="auto"/>
                <w:lang w:val="en-US" w:eastAsia="zh-CN"/>
              </w:rPr>
              <w:t>2</w:t>
            </w:r>
            <w:r>
              <w:rPr>
                <w:rFonts w:hint="eastAsia"/>
                <w:color w:val="auto"/>
              </w:rPr>
              <w:t>分，本项最高得</w:t>
            </w:r>
            <w:r>
              <w:rPr>
                <w:rFonts w:hint="eastAsia"/>
                <w:color w:val="auto"/>
                <w:lang w:val="en-US" w:eastAsia="zh-CN"/>
              </w:rPr>
              <w:t>10</w:t>
            </w:r>
            <w:r>
              <w:rPr>
                <w:rFonts w:hint="eastAsia"/>
                <w:color w:val="auto"/>
              </w:rPr>
              <w:t>分。</w:t>
            </w:r>
          </w:p>
          <w:p>
            <w:pPr>
              <w:rPr>
                <w:rFonts w:hint="eastAsia"/>
                <w:color w:val="auto"/>
              </w:rPr>
            </w:pPr>
            <w:r>
              <w:rPr>
                <w:rFonts w:hint="eastAsia"/>
                <w:color w:val="auto"/>
              </w:rPr>
              <w:t>② 同时具备注册造价师、高级工程师，每人得</w:t>
            </w:r>
            <w:r>
              <w:rPr>
                <w:rFonts w:hint="eastAsia"/>
                <w:color w:val="auto"/>
                <w:lang w:val="en-US" w:eastAsia="zh-CN"/>
              </w:rPr>
              <w:t>2.5</w:t>
            </w:r>
            <w:r>
              <w:rPr>
                <w:rFonts w:hint="eastAsia"/>
                <w:color w:val="auto"/>
              </w:rPr>
              <w:t>分，本项最高得</w:t>
            </w:r>
            <w:r>
              <w:rPr>
                <w:rFonts w:hint="eastAsia"/>
                <w:color w:val="auto"/>
                <w:lang w:val="en-US" w:eastAsia="zh-CN"/>
              </w:rPr>
              <w:t>10</w:t>
            </w:r>
            <w:r>
              <w:rPr>
                <w:rFonts w:hint="eastAsia"/>
                <w:color w:val="auto"/>
              </w:rPr>
              <w:t>分</w:t>
            </w:r>
          </w:p>
          <w:p>
            <w:pPr>
              <w:rPr>
                <w:rFonts w:hint="eastAsia"/>
                <w:color w:val="auto"/>
              </w:rPr>
            </w:pPr>
            <w:r>
              <w:rPr>
                <w:rFonts w:hint="eastAsia"/>
                <w:color w:val="auto"/>
              </w:rPr>
              <w:t>注：以提供近半年社保清单及注册证书为评审依据。（没有提供原件核查或提供核查的原件与复印件不一致的，不得分），①、②项人员不得重复计分。</w:t>
            </w:r>
          </w:p>
        </w:tc>
        <w:tc>
          <w:tcPr>
            <w:tcW w:w="913" w:type="dxa"/>
            <w:vAlign w:val="center"/>
          </w:tcPr>
          <w:p>
            <w:pPr>
              <w:jc w:val="center"/>
              <w:rPr>
                <w:rFonts w:hint="eastAsia" w:eastAsia="宋体"/>
                <w:color w:val="auto"/>
                <w:lang w:eastAsia="zh-CN"/>
              </w:rPr>
            </w:pPr>
            <w:r>
              <w:rPr>
                <w:rFonts w:hint="eastAsia"/>
                <w:color w:val="auto"/>
                <w:lang w:val="en-US" w:eastAsia="zh-CN"/>
              </w:rPr>
              <w:t>20</w:t>
            </w:r>
          </w:p>
        </w:tc>
        <w:tc>
          <w:tcPr>
            <w:tcW w:w="913" w:type="dxa"/>
            <w:vAlign w:val="center"/>
          </w:tcPr>
          <w:p>
            <w:pPr>
              <w:jc w:val="center"/>
              <w:rPr>
                <w:rFonts w:hint="eastAsia" w:ascii="宋体" w:hAnsi="宋体"/>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jc w:val="center"/>
        </w:trPr>
        <w:tc>
          <w:tcPr>
            <w:tcW w:w="552" w:type="dxa"/>
            <w:vMerge w:val="continue"/>
            <w:vAlign w:val="center"/>
          </w:tcPr>
          <w:p>
            <w:pPr>
              <w:jc w:val="center"/>
              <w:rPr>
                <w:rFonts w:hint="eastAsia" w:ascii="宋体" w:hAnsi="宋体"/>
                <w:color w:val="auto"/>
                <w:sz w:val="18"/>
                <w:szCs w:val="18"/>
              </w:rPr>
            </w:pPr>
          </w:p>
        </w:tc>
        <w:tc>
          <w:tcPr>
            <w:tcW w:w="1640" w:type="dxa"/>
            <w:vMerge w:val="continue"/>
            <w:vAlign w:val="center"/>
          </w:tcPr>
          <w:p>
            <w:pPr>
              <w:rPr>
                <w:rFonts w:hint="eastAsia"/>
                <w:color w:val="auto"/>
              </w:rPr>
            </w:pPr>
          </w:p>
        </w:tc>
        <w:tc>
          <w:tcPr>
            <w:tcW w:w="10106" w:type="dxa"/>
            <w:vAlign w:val="center"/>
          </w:tcPr>
          <w:p>
            <w:pPr>
              <w:rPr>
                <w:rFonts w:hint="eastAsia"/>
                <w:color w:val="auto"/>
              </w:rPr>
            </w:pPr>
            <w:r>
              <w:rPr>
                <w:rFonts w:hint="eastAsia"/>
                <w:color w:val="auto"/>
              </w:rPr>
              <w:t>2、上述人员的职业资格专业类型包括：</w:t>
            </w:r>
            <w:r>
              <w:rPr>
                <w:color w:val="auto"/>
              </w:rPr>
              <w:t>1</w:t>
            </w:r>
            <w:r>
              <w:rPr>
                <w:rFonts w:hint="eastAsia"/>
                <w:color w:val="auto"/>
              </w:rPr>
              <w:t>）公路或桥梁；</w:t>
            </w:r>
            <w:r>
              <w:rPr>
                <w:color w:val="auto"/>
              </w:rPr>
              <w:t>2</w:t>
            </w:r>
            <w:r>
              <w:rPr>
                <w:rFonts w:hint="eastAsia"/>
                <w:color w:val="auto"/>
              </w:rPr>
              <w:t>）水利；</w:t>
            </w:r>
            <w:r>
              <w:rPr>
                <w:color w:val="auto"/>
              </w:rPr>
              <w:t>3</w:t>
            </w:r>
            <w:r>
              <w:rPr>
                <w:rFonts w:hint="eastAsia"/>
                <w:color w:val="auto"/>
              </w:rPr>
              <w:t>）电力；</w:t>
            </w:r>
            <w:r>
              <w:rPr>
                <w:color w:val="auto"/>
              </w:rPr>
              <w:t>4</w:t>
            </w:r>
            <w:r>
              <w:rPr>
                <w:rFonts w:hint="eastAsia"/>
                <w:color w:val="auto"/>
              </w:rPr>
              <w:t>）土建；</w:t>
            </w:r>
            <w:r>
              <w:rPr>
                <w:color w:val="auto"/>
              </w:rPr>
              <w:t>5</w:t>
            </w:r>
            <w:r>
              <w:rPr>
                <w:rFonts w:hint="eastAsia"/>
                <w:color w:val="auto"/>
              </w:rPr>
              <w:t>）市政公用；每个专业可得1分，本项最高得5分。</w:t>
            </w:r>
          </w:p>
          <w:p>
            <w:pPr>
              <w:rPr>
                <w:rFonts w:hint="eastAsia"/>
                <w:color w:val="auto"/>
              </w:rPr>
            </w:pPr>
            <w:r>
              <w:rPr>
                <w:rFonts w:hint="eastAsia"/>
                <w:color w:val="auto"/>
              </w:rPr>
              <w:t>注：以上职业资格以职称证书或造价员证原件为评审依据，没有提供不得分（没有提供原件核查或提供核查的原件与复印件不一致的，不得分）。</w:t>
            </w:r>
          </w:p>
        </w:tc>
        <w:tc>
          <w:tcPr>
            <w:tcW w:w="913" w:type="dxa"/>
            <w:vAlign w:val="center"/>
          </w:tcPr>
          <w:p>
            <w:pPr>
              <w:jc w:val="center"/>
              <w:rPr>
                <w:rFonts w:hint="eastAsia"/>
                <w:color w:val="auto"/>
              </w:rPr>
            </w:pPr>
            <w:r>
              <w:rPr>
                <w:rFonts w:hint="eastAsia"/>
                <w:color w:val="auto"/>
              </w:rPr>
              <w:t>5</w:t>
            </w:r>
          </w:p>
        </w:tc>
        <w:tc>
          <w:tcPr>
            <w:tcW w:w="913" w:type="dxa"/>
            <w:vAlign w:val="center"/>
          </w:tcPr>
          <w:p>
            <w:pPr>
              <w:jc w:val="center"/>
              <w:rPr>
                <w:rFonts w:hint="eastAsia" w:ascii="宋体" w:hAnsi="宋体"/>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 w:hRule="atLeast"/>
          <w:jc w:val="center"/>
        </w:trPr>
        <w:tc>
          <w:tcPr>
            <w:tcW w:w="552" w:type="dxa"/>
            <w:vMerge w:val="restart"/>
            <w:vAlign w:val="center"/>
          </w:tcPr>
          <w:p>
            <w:pPr>
              <w:jc w:val="center"/>
              <w:rPr>
                <w:rFonts w:hint="eastAsia" w:ascii="宋体" w:hAnsi="宋体" w:eastAsia="宋体"/>
                <w:color w:val="auto"/>
                <w:sz w:val="18"/>
                <w:szCs w:val="18"/>
                <w:lang w:eastAsia="zh-CN"/>
              </w:rPr>
            </w:pPr>
            <w:r>
              <w:rPr>
                <w:rFonts w:hint="eastAsia" w:ascii="宋体" w:hAnsi="宋体"/>
                <w:color w:val="auto"/>
                <w:sz w:val="18"/>
                <w:szCs w:val="18"/>
                <w:lang w:val="en-US" w:eastAsia="zh-CN"/>
              </w:rPr>
              <w:t>3</w:t>
            </w:r>
          </w:p>
        </w:tc>
        <w:tc>
          <w:tcPr>
            <w:tcW w:w="1640" w:type="dxa"/>
            <w:vMerge w:val="restart"/>
            <w:vAlign w:val="center"/>
          </w:tcPr>
          <w:p>
            <w:pPr>
              <w:rPr>
                <w:rFonts w:hint="eastAsia"/>
                <w:color w:val="auto"/>
              </w:rPr>
            </w:pPr>
          </w:p>
          <w:p>
            <w:pPr>
              <w:rPr>
                <w:rFonts w:hint="eastAsia"/>
                <w:color w:val="auto"/>
              </w:rPr>
            </w:pPr>
          </w:p>
          <w:p>
            <w:pPr>
              <w:rPr>
                <w:rFonts w:hint="eastAsia"/>
                <w:color w:val="auto"/>
              </w:rPr>
            </w:pPr>
            <w:r>
              <w:rPr>
                <w:rFonts w:hint="eastAsia"/>
                <w:color w:val="auto"/>
              </w:rPr>
              <w:t>服务质量</w:t>
            </w:r>
          </w:p>
          <w:p>
            <w:pPr>
              <w:rPr>
                <w:rFonts w:hint="eastAsia"/>
                <w:color w:val="auto"/>
              </w:rPr>
            </w:pPr>
            <w:r>
              <w:rPr>
                <w:rFonts w:hint="eastAsia"/>
                <w:color w:val="auto"/>
              </w:rPr>
              <w:t>保证</w:t>
            </w:r>
          </w:p>
        </w:tc>
        <w:tc>
          <w:tcPr>
            <w:tcW w:w="10106" w:type="dxa"/>
            <w:vAlign w:val="center"/>
          </w:tcPr>
          <w:p>
            <w:pPr>
              <w:rPr>
                <w:rFonts w:hint="eastAsia"/>
                <w:color w:val="auto"/>
              </w:rPr>
            </w:pPr>
            <w:r>
              <w:rPr>
                <w:rFonts w:hint="eastAsia"/>
                <w:color w:val="auto"/>
              </w:rPr>
              <w:t>1、</w:t>
            </w:r>
            <w:r>
              <w:rPr>
                <w:rFonts w:hint="eastAsia"/>
                <w:color w:val="auto"/>
                <w:lang w:eastAsia="zh-CN"/>
              </w:rPr>
              <w:t>根据报价人提供的</w:t>
            </w:r>
            <w:r>
              <w:rPr>
                <w:rFonts w:hint="eastAsia"/>
                <w:color w:val="auto"/>
              </w:rPr>
              <w:t>服务质量保证和进度保障措施合理、完善、可行程度</w:t>
            </w:r>
            <w:r>
              <w:rPr>
                <w:rFonts w:hint="eastAsia"/>
                <w:color w:val="auto"/>
                <w:lang w:eastAsia="zh-CN"/>
              </w:rPr>
              <w:t>进行横向对比</w:t>
            </w:r>
            <w:r>
              <w:rPr>
                <w:rFonts w:hint="eastAsia"/>
                <w:color w:val="auto"/>
              </w:rPr>
              <w:t>。优：</w:t>
            </w:r>
            <w:r>
              <w:rPr>
                <w:rFonts w:hint="eastAsia"/>
                <w:color w:val="auto"/>
                <w:lang w:val="en-US" w:eastAsia="zh-CN"/>
              </w:rPr>
              <w:t>10-8</w:t>
            </w:r>
            <w:r>
              <w:rPr>
                <w:rFonts w:hint="eastAsia"/>
                <w:color w:val="auto"/>
              </w:rPr>
              <w:t>分；良：</w:t>
            </w:r>
            <w:r>
              <w:rPr>
                <w:rFonts w:hint="eastAsia"/>
                <w:color w:val="auto"/>
                <w:lang w:val="en-US" w:eastAsia="zh-CN"/>
              </w:rPr>
              <w:t>7-5</w:t>
            </w:r>
            <w:r>
              <w:rPr>
                <w:rFonts w:hint="eastAsia"/>
                <w:color w:val="auto"/>
              </w:rPr>
              <w:t>分；</w:t>
            </w:r>
            <w:r>
              <w:rPr>
                <w:rFonts w:hint="eastAsia"/>
                <w:color w:val="auto"/>
                <w:lang w:eastAsia="zh-CN"/>
              </w:rPr>
              <w:t>差</w:t>
            </w:r>
            <w:r>
              <w:rPr>
                <w:rFonts w:hint="eastAsia"/>
                <w:color w:val="auto"/>
              </w:rPr>
              <w:t>：</w:t>
            </w:r>
            <w:r>
              <w:rPr>
                <w:rFonts w:hint="eastAsia"/>
                <w:color w:val="auto"/>
                <w:lang w:val="en-US" w:eastAsia="zh-CN"/>
              </w:rPr>
              <w:t>4-0</w:t>
            </w:r>
            <w:r>
              <w:rPr>
                <w:rFonts w:hint="eastAsia"/>
                <w:color w:val="auto"/>
              </w:rPr>
              <w:t>分</w:t>
            </w:r>
            <w:r>
              <w:rPr>
                <w:rFonts w:hint="eastAsia"/>
                <w:color w:val="auto"/>
                <w:lang w:eastAsia="zh-CN"/>
              </w:rPr>
              <w:t>。</w:t>
            </w:r>
          </w:p>
        </w:tc>
        <w:tc>
          <w:tcPr>
            <w:tcW w:w="913" w:type="dxa"/>
            <w:vAlign w:val="center"/>
          </w:tcPr>
          <w:p>
            <w:pPr>
              <w:jc w:val="center"/>
              <w:rPr>
                <w:rFonts w:hint="eastAsia" w:eastAsia="宋体"/>
                <w:color w:val="auto"/>
                <w:lang w:eastAsia="zh-CN"/>
              </w:rPr>
            </w:pPr>
            <w:r>
              <w:rPr>
                <w:rFonts w:hint="eastAsia"/>
                <w:color w:val="auto"/>
                <w:lang w:val="en-US" w:eastAsia="zh-CN"/>
              </w:rPr>
              <w:t>10</w:t>
            </w:r>
          </w:p>
        </w:tc>
        <w:tc>
          <w:tcPr>
            <w:tcW w:w="913" w:type="dxa"/>
            <w:vAlign w:val="center"/>
          </w:tcPr>
          <w:p>
            <w:pPr>
              <w:jc w:val="center"/>
              <w:rPr>
                <w:rFonts w:hint="eastAsia" w:ascii="宋体" w:hAnsi="宋体"/>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jc w:val="center"/>
        </w:trPr>
        <w:tc>
          <w:tcPr>
            <w:tcW w:w="552" w:type="dxa"/>
            <w:vMerge w:val="continue"/>
            <w:vAlign w:val="center"/>
          </w:tcPr>
          <w:p>
            <w:pPr>
              <w:jc w:val="center"/>
              <w:rPr>
                <w:rFonts w:hint="eastAsia" w:ascii="宋体" w:hAnsi="宋体"/>
                <w:color w:val="auto"/>
                <w:sz w:val="18"/>
                <w:szCs w:val="18"/>
              </w:rPr>
            </w:pPr>
          </w:p>
        </w:tc>
        <w:tc>
          <w:tcPr>
            <w:tcW w:w="1640" w:type="dxa"/>
            <w:vMerge w:val="continue"/>
            <w:vAlign w:val="center"/>
          </w:tcPr>
          <w:p>
            <w:pPr>
              <w:rPr>
                <w:color w:val="auto"/>
              </w:rPr>
            </w:pPr>
          </w:p>
        </w:tc>
        <w:tc>
          <w:tcPr>
            <w:tcW w:w="10106" w:type="dxa"/>
            <w:vAlign w:val="center"/>
          </w:tcPr>
          <w:p>
            <w:pPr>
              <w:rPr>
                <w:rFonts w:hint="eastAsia"/>
                <w:color w:val="auto"/>
              </w:rPr>
            </w:pPr>
            <w:r>
              <w:rPr>
                <w:rFonts w:hint="eastAsia"/>
                <w:color w:val="auto"/>
              </w:rPr>
              <w:t>2、理解和熟悉财政投资工程项目造价管理方面的政策、法规、知识和现行做法，对接受委托评审财政投资工程预结算工作的经验总结，并能对财政投资项目投资控制、项目造价全过程管理、采购文件和合同审查管理等方面提出切实可行的建议和意见等</w:t>
            </w:r>
            <w:r>
              <w:rPr>
                <w:rFonts w:hint="eastAsia"/>
                <w:color w:val="auto"/>
                <w:lang w:eastAsia="zh-CN"/>
              </w:rPr>
              <w:t>对各报价人进行横向对比</w:t>
            </w:r>
            <w:r>
              <w:rPr>
                <w:rFonts w:hint="eastAsia"/>
                <w:color w:val="auto"/>
              </w:rPr>
              <w:t>。</w:t>
            </w:r>
          </w:p>
          <w:p>
            <w:pPr>
              <w:rPr>
                <w:rFonts w:hint="eastAsia"/>
                <w:color w:val="auto"/>
              </w:rPr>
            </w:pPr>
            <w:r>
              <w:rPr>
                <w:rFonts w:hint="eastAsia"/>
                <w:color w:val="auto"/>
              </w:rPr>
              <w:t>优：</w:t>
            </w:r>
            <w:r>
              <w:rPr>
                <w:rFonts w:hint="eastAsia"/>
                <w:color w:val="auto"/>
                <w:lang w:val="en-US" w:eastAsia="zh-CN"/>
              </w:rPr>
              <w:t>10-8</w:t>
            </w:r>
            <w:r>
              <w:rPr>
                <w:rFonts w:hint="eastAsia"/>
                <w:color w:val="auto"/>
              </w:rPr>
              <w:t>分；良：</w:t>
            </w:r>
            <w:r>
              <w:rPr>
                <w:rFonts w:hint="eastAsia"/>
                <w:color w:val="auto"/>
                <w:lang w:val="en-US" w:eastAsia="zh-CN"/>
              </w:rPr>
              <w:t>7-5</w:t>
            </w:r>
            <w:r>
              <w:rPr>
                <w:rFonts w:hint="eastAsia"/>
                <w:color w:val="auto"/>
              </w:rPr>
              <w:t>分；</w:t>
            </w:r>
            <w:r>
              <w:rPr>
                <w:rFonts w:hint="eastAsia"/>
                <w:color w:val="auto"/>
                <w:lang w:eastAsia="zh-CN"/>
              </w:rPr>
              <w:t>差</w:t>
            </w:r>
            <w:r>
              <w:rPr>
                <w:rFonts w:hint="eastAsia"/>
                <w:color w:val="auto"/>
              </w:rPr>
              <w:t>：</w:t>
            </w:r>
            <w:r>
              <w:rPr>
                <w:rFonts w:hint="eastAsia"/>
                <w:color w:val="auto"/>
                <w:lang w:val="en-US" w:eastAsia="zh-CN"/>
              </w:rPr>
              <w:t>4-0</w:t>
            </w:r>
            <w:r>
              <w:rPr>
                <w:rFonts w:hint="eastAsia"/>
                <w:color w:val="auto"/>
              </w:rPr>
              <w:t>分。</w:t>
            </w:r>
          </w:p>
        </w:tc>
        <w:tc>
          <w:tcPr>
            <w:tcW w:w="913" w:type="dxa"/>
            <w:vAlign w:val="center"/>
          </w:tcPr>
          <w:p>
            <w:pPr>
              <w:jc w:val="center"/>
              <w:rPr>
                <w:rFonts w:hint="eastAsia" w:eastAsia="宋体"/>
                <w:color w:val="auto"/>
                <w:lang w:eastAsia="zh-CN"/>
              </w:rPr>
            </w:pPr>
            <w:r>
              <w:rPr>
                <w:rFonts w:hint="eastAsia"/>
                <w:color w:val="auto"/>
                <w:lang w:val="en-US" w:eastAsia="zh-CN"/>
              </w:rPr>
              <w:t>10</w:t>
            </w:r>
          </w:p>
        </w:tc>
        <w:tc>
          <w:tcPr>
            <w:tcW w:w="913" w:type="dxa"/>
            <w:vAlign w:val="center"/>
          </w:tcPr>
          <w:p>
            <w:pPr>
              <w:jc w:val="center"/>
              <w:rPr>
                <w:rFonts w:hint="eastAsia" w:ascii="宋体" w:hAnsi="宋体"/>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jc w:val="center"/>
        </w:trPr>
        <w:tc>
          <w:tcPr>
            <w:tcW w:w="552" w:type="dxa"/>
            <w:vMerge w:val="restart"/>
            <w:vAlign w:val="center"/>
          </w:tcPr>
          <w:p>
            <w:pPr>
              <w:jc w:val="center"/>
              <w:rPr>
                <w:rFonts w:hint="eastAsia" w:ascii="宋体" w:hAnsi="宋体" w:eastAsia="宋体"/>
                <w:color w:val="auto"/>
                <w:sz w:val="18"/>
                <w:szCs w:val="18"/>
                <w:lang w:val="en-US" w:eastAsia="zh-CN"/>
              </w:rPr>
            </w:pPr>
            <w:r>
              <w:rPr>
                <w:rFonts w:hint="eastAsia" w:ascii="宋体" w:hAnsi="宋体"/>
                <w:color w:val="auto"/>
                <w:sz w:val="18"/>
                <w:szCs w:val="18"/>
                <w:lang w:val="en-US" w:eastAsia="zh-CN"/>
              </w:rPr>
              <w:t>4</w:t>
            </w:r>
          </w:p>
        </w:tc>
        <w:tc>
          <w:tcPr>
            <w:tcW w:w="1640" w:type="dxa"/>
            <w:vMerge w:val="restart"/>
            <w:vAlign w:val="center"/>
          </w:tcPr>
          <w:p>
            <w:pPr>
              <w:snapToGrid w:val="0"/>
              <w:spacing w:line="300" w:lineRule="exact"/>
              <w:jc w:val="center"/>
              <w:rPr>
                <w:color w:val="auto"/>
              </w:rPr>
            </w:pPr>
            <w:r>
              <w:rPr>
                <w:rFonts w:hint="eastAsia" w:hAnsi="宋体"/>
                <w:color w:val="auto"/>
                <w:szCs w:val="21"/>
              </w:rPr>
              <w:t>企业规章制度健全性和完善性</w:t>
            </w:r>
          </w:p>
        </w:tc>
        <w:tc>
          <w:tcPr>
            <w:tcW w:w="10106" w:type="dxa"/>
            <w:vAlign w:val="center"/>
          </w:tcPr>
          <w:p>
            <w:pPr>
              <w:snapToGrid w:val="0"/>
              <w:spacing w:line="300" w:lineRule="exact"/>
              <w:rPr>
                <w:rFonts w:hint="eastAsia"/>
                <w:color w:val="auto"/>
              </w:rPr>
            </w:pPr>
            <w:r>
              <w:rPr>
                <w:rFonts w:hint="eastAsia" w:hAnsi="宋体"/>
                <w:color w:val="auto"/>
                <w:szCs w:val="21"/>
                <w:highlight w:val="none"/>
              </w:rPr>
              <w:t>企业规章制度建设健全性和完善性，包括业务档案管理制度、人事管理制度、财务管理制度、保密制度）等，</w:t>
            </w:r>
            <w:r>
              <w:rPr>
                <w:rFonts w:hint="eastAsia" w:hAnsi="宋体"/>
                <w:color w:val="auto"/>
                <w:szCs w:val="21"/>
                <w:highlight w:val="none"/>
                <w:lang w:eastAsia="zh-CN"/>
              </w:rPr>
              <w:t>对各报价人进行横向对比。</w:t>
            </w:r>
            <w:r>
              <w:rPr>
                <w:rFonts w:hint="eastAsia"/>
                <w:color w:val="auto"/>
              </w:rPr>
              <w:t>优：</w:t>
            </w:r>
            <w:r>
              <w:rPr>
                <w:rFonts w:hint="eastAsia"/>
                <w:color w:val="auto"/>
                <w:lang w:val="en-US" w:eastAsia="zh-CN"/>
              </w:rPr>
              <w:t>8-6</w:t>
            </w:r>
            <w:r>
              <w:rPr>
                <w:rFonts w:hint="eastAsia"/>
                <w:color w:val="auto"/>
              </w:rPr>
              <w:t>分；良：</w:t>
            </w:r>
            <w:r>
              <w:rPr>
                <w:rFonts w:hint="eastAsia"/>
                <w:color w:val="auto"/>
                <w:lang w:val="en-US" w:eastAsia="zh-CN"/>
              </w:rPr>
              <w:t>5-3</w:t>
            </w:r>
            <w:r>
              <w:rPr>
                <w:rFonts w:hint="eastAsia"/>
                <w:color w:val="auto"/>
              </w:rPr>
              <w:t>分；</w:t>
            </w:r>
            <w:r>
              <w:rPr>
                <w:rFonts w:hint="eastAsia"/>
                <w:color w:val="auto"/>
                <w:lang w:eastAsia="zh-CN"/>
              </w:rPr>
              <w:t>差</w:t>
            </w:r>
            <w:r>
              <w:rPr>
                <w:rFonts w:hint="eastAsia"/>
                <w:color w:val="auto"/>
              </w:rPr>
              <w:t>：</w:t>
            </w:r>
            <w:r>
              <w:rPr>
                <w:rFonts w:hint="eastAsia"/>
                <w:color w:val="auto"/>
                <w:lang w:val="en-US" w:eastAsia="zh-CN"/>
              </w:rPr>
              <w:t>2-0</w:t>
            </w:r>
            <w:r>
              <w:rPr>
                <w:rFonts w:hint="eastAsia"/>
                <w:color w:val="auto"/>
              </w:rPr>
              <w:t>分</w:t>
            </w:r>
            <w:r>
              <w:rPr>
                <w:rFonts w:hint="eastAsia" w:hAnsi="宋体"/>
                <w:color w:val="auto"/>
                <w:szCs w:val="21"/>
              </w:rPr>
              <w:t>。</w:t>
            </w:r>
          </w:p>
        </w:tc>
        <w:tc>
          <w:tcPr>
            <w:tcW w:w="913" w:type="dxa"/>
            <w:vAlign w:val="center"/>
          </w:tcPr>
          <w:p>
            <w:pPr>
              <w:snapToGrid w:val="0"/>
              <w:spacing w:line="300" w:lineRule="exact"/>
              <w:jc w:val="center"/>
              <w:rPr>
                <w:rFonts w:hint="eastAsia" w:eastAsia="宋体"/>
                <w:color w:val="auto"/>
                <w:lang w:eastAsia="zh-CN"/>
              </w:rPr>
            </w:pPr>
            <w:r>
              <w:rPr>
                <w:rFonts w:hint="eastAsia" w:hAnsi="宋体"/>
                <w:color w:val="auto"/>
                <w:szCs w:val="21"/>
                <w:lang w:val="en-US" w:eastAsia="zh-CN"/>
              </w:rPr>
              <w:t>8</w:t>
            </w:r>
          </w:p>
        </w:tc>
        <w:tc>
          <w:tcPr>
            <w:tcW w:w="913" w:type="dxa"/>
            <w:vAlign w:val="center"/>
          </w:tcPr>
          <w:p>
            <w:pPr>
              <w:jc w:val="center"/>
              <w:rPr>
                <w:rFonts w:hint="eastAsia" w:ascii="宋体" w:hAnsi="宋体"/>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jc w:val="center"/>
        </w:trPr>
        <w:tc>
          <w:tcPr>
            <w:tcW w:w="552" w:type="dxa"/>
            <w:vMerge w:val="continue"/>
            <w:vAlign w:val="center"/>
          </w:tcPr>
          <w:p>
            <w:pPr>
              <w:jc w:val="center"/>
              <w:rPr>
                <w:rFonts w:hint="eastAsia" w:ascii="宋体" w:hAnsi="宋体"/>
                <w:color w:val="auto"/>
                <w:sz w:val="18"/>
                <w:szCs w:val="18"/>
                <w:lang w:val="en-US" w:eastAsia="zh-CN"/>
              </w:rPr>
            </w:pPr>
          </w:p>
        </w:tc>
        <w:tc>
          <w:tcPr>
            <w:tcW w:w="1640" w:type="dxa"/>
            <w:vMerge w:val="continue"/>
            <w:vAlign w:val="center"/>
          </w:tcPr>
          <w:p>
            <w:pPr>
              <w:snapToGrid w:val="0"/>
              <w:spacing w:line="300" w:lineRule="exact"/>
              <w:jc w:val="center"/>
              <w:rPr>
                <w:rFonts w:hint="eastAsia" w:hAnsi="宋体"/>
                <w:color w:val="auto"/>
                <w:szCs w:val="21"/>
              </w:rPr>
            </w:pPr>
          </w:p>
        </w:tc>
        <w:tc>
          <w:tcPr>
            <w:tcW w:w="10106" w:type="dxa"/>
            <w:vAlign w:val="center"/>
          </w:tcPr>
          <w:p>
            <w:pPr>
              <w:snapToGrid w:val="0"/>
              <w:spacing w:line="300" w:lineRule="exact"/>
              <w:rPr>
                <w:rFonts w:hint="eastAsia" w:hAnsi="宋体"/>
                <w:color w:val="auto"/>
                <w:szCs w:val="21"/>
                <w:highlight w:val="none"/>
              </w:rPr>
            </w:pPr>
            <w:r>
              <w:rPr>
                <w:rFonts w:hint="eastAsia" w:ascii="宋体" w:hAnsi="宋体"/>
                <w:color w:val="auto"/>
                <w:sz w:val="18"/>
                <w:szCs w:val="18"/>
              </w:rPr>
              <w:t>企业机构的人员设置，项目评审制度，项目评审流程，能够承诺保证有足够的人力、物力、具有各种必要的资源保证按时按质完成委托的造价咨询业务、能提供优质服务，并对造价咨询成果的真实性、准确性负责。</w:t>
            </w:r>
            <w:r>
              <w:rPr>
                <w:rFonts w:hint="eastAsia"/>
                <w:color w:val="auto"/>
              </w:rPr>
              <w:t>优：</w:t>
            </w:r>
            <w:r>
              <w:rPr>
                <w:rFonts w:hint="eastAsia"/>
                <w:color w:val="auto"/>
                <w:lang w:val="en-US" w:eastAsia="zh-CN"/>
              </w:rPr>
              <w:t>10-8</w:t>
            </w:r>
            <w:r>
              <w:rPr>
                <w:rFonts w:hint="eastAsia"/>
                <w:color w:val="auto"/>
              </w:rPr>
              <w:t>分；良：</w:t>
            </w:r>
            <w:r>
              <w:rPr>
                <w:rFonts w:hint="eastAsia"/>
                <w:color w:val="auto"/>
                <w:lang w:val="en-US" w:eastAsia="zh-CN"/>
              </w:rPr>
              <w:t>7-5</w:t>
            </w:r>
            <w:r>
              <w:rPr>
                <w:rFonts w:hint="eastAsia"/>
                <w:color w:val="auto"/>
              </w:rPr>
              <w:t>分；</w:t>
            </w:r>
            <w:r>
              <w:rPr>
                <w:rFonts w:hint="eastAsia"/>
                <w:color w:val="auto"/>
                <w:lang w:eastAsia="zh-CN"/>
              </w:rPr>
              <w:t>差</w:t>
            </w:r>
            <w:r>
              <w:rPr>
                <w:rFonts w:hint="eastAsia"/>
                <w:color w:val="auto"/>
              </w:rPr>
              <w:t>：</w:t>
            </w:r>
            <w:r>
              <w:rPr>
                <w:rFonts w:hint="eastAsia"/>
                <w:color w:val="auto"/>
                <w:lang w:val="en-US" w:eastAsia="zh-CN"/>
              </w:rPr>
              <w:t>4-0</w:t>
            </w:r>
            <w:r>
              <w:rPr>
                <w:rFonts w:hint="eastAsia"/>
                <w:color w:val="auto"/>
              </w:rPr>
              <w:t>分</w:t>
            </w:r>
            <w:r>
              <w:rPr>
                <w:rFonts w:hint="eastAsia"/>
                <w:color w:val="auto"/>
                <w:lang w:eastAsia="zh-CN"/>
              </w:rPr>
              <w:t>。</w:t>
            </w:r>
          </w:p>
        </w:tc>
        <w:tc>
          <w:tcPr>
            <w:tcW w:w="913" w:type="dxa"/>
            <w:vAlign w:val="center"/>
          </w:tcPr>
          <w:p>
            <w:pPr>
              <w:snapToGrid w:val="0"/>
              <w:spacing w:line="300" w:lineRule="exact"/>
              <w:jc w:val="center"/>
              <w:rPr>
                <w:rFonts w:hint="eastAsia" w:hAnsi="宋体"/>
                <w:color w:val="auto"/>
                <w:szCs w:val="21"/>
                <w:lang w:val="en-US" w:eastAsia="zh-CN"/>
              </w:rPr>
            </w:pPr>
            <w:r>
              <w:rPr>
                <w:rFonts w:hint="eastAsia" w:hAnsi="宋体"/>
                <w:color w:val="auto"/>
                <w:szCs w:val="21"/>
                <w:lang w:val="en-US" w:eastAsia="zh-CN"/>
              </w:rPr>
              <w:t>10</w:t>
            </w:r>
          </w:p>
        </w:tc>
        <w:tc>
          <w:tcPr>
            <w:tcW w:w="913" w:type="dxa"/>
            <w:vAlign w:val="center"/>
          </w:tcPr>
          <w:p>
            <w:pPr>
              <w:jc w:val="center"/>
              <w:rPr>
                <w:rFonts w:hint="eastAsia" w:ascii="宋体" w:hAnsi="宋体"/>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jc w:val="center"/>
        </w:trPr>
        <w:tc>
          <w:tcPr>
            <w:tcW w:w="552" w:type="dxa"/>
            <w:vAlign w:val="center"/>
          </w:tcPr>
          <w:p>
            <w:pPr>
              <w:jc w:val="center"/>
              <w:rPr>
                <w:rFonts w:hint="eastAsia" w:ascii="宋体" w:hAnsi="宋体" w:eastAsia="宋体"/>
                <w:color w:val="auto"/>
                <w:sz w:val="18"/>
                <w:szCs w:val="18"/>
                <w:lang w:val="en-US" w:eastAsia="zh-CN"/>
              </w:rPr>
            </w:pPr>
            <w:r>
              <w:rPr>
                <w:rFonts w:hint="eastAsia" w:ascii="宋体" w:hAnsi="宋体"/>
                <w:color w:val="auto"/>
                <w:sz w:val="18"/>
                <w:szCs w:val="18"/>
                <w:lang w:val="en-US" w:eastAsia="zh-CN"/>
              </w:rPr>
              <w:t>5</w:t>
            </w:r>
          </w:p>
        </w:tc>
        <w:tc>
          <w:tcPr>
            <w:tcW w:w="1640" w:type="dxa"/>
            <w:vAlign w:val="center"/>
          </w:tcPr>
          <w:p>
            <w:pPr>
              <w:snapToGrid w:val="0"/>
              <w:spacing w:line="300" w:lineRule="exact"/>
              <w:jc w:val="center"/>
              <w:rPr>
                <w:rFonts w:hAnsi="宋体"/>
                <w:color w:val="auto"/>
                <w:szCs w:val="21"/>
              </w:rPr>
            </w:pPr>
            <w:r>
              <w:rPr>
                <w:rFonts w:hAnsi="宋体"/>
                <w:color w:val="auto"/>
                <w:szCs w:val="21"/>
              </w:rPr>
              <w:t>守合同</w:t>
            </w:r>
          </w:p>
          <w:p>
            <w:pPr>
              <w:snapToGrid w:val="0"/>
              <w:spacing w:line="300" w:lineRule="exact"/>
              <w:jc w:val="center"/>
              <w:rPr>
                <w:color w:val="auto"/>
              </w:rPr>
            </w:pPr>
            <w:r>
              <w:rPr>
                <w:rFonts w:hAnsi="宋体"/>
                <w:color w:val="auto"/>
                <w:szCs w:val="21"/>
              </w:rPr>
              <w:t>重信用</w:t>
            </w:r>
          </w:p>
        </w:tc>
        <w:tc>
          <w:tcPr>
            <w:tcW w:w="10106" w:type="dxa"/>
            <w:vAlign w:val="center"/>
          </w:tcPr>
          <w:p>
            <w:pPr>
              <w:snapToGrid w:val="0"/>
              <w:spacing w:line="260" w:lineRule="exact"/>
              <w:rPr>
                <w:rFonts w:hint="eastAsia" w:hAnsi="宋体"/>
                <w:color w:val="auto"/>
                <w:szCs w:val="21"/>
              </w:rPr>
            </w:pPr>
            <w:r>
              <w:rPr>
                <w:rFonts w:hint="eastAsia" w:hAnsi="宋体"/>
                <w:color w:val="auto"/>
                <w:szCs w:val="21"/>
              </w:rPr>
              <w:t>获得市级或以上工商行政管理局颁发的守合同、重信用企业的，连续5年或以上的得5分，连续5年以下得1分。</w:t>
            </w:r>
          </w:p>
          <w:p>
            <w:pPr>
              <w:snapToGrid w:val="0"/>
              <w:spacing w:line="300" w:lineRule="exact"/>
              <w:rPr>
                <w:rFonts w:hint="eastAsia"/>
                <w:color w:val="auto"/>
              </w:rPr>
            </w:pPr>
            <w:r>
              <w:rPr>
                <w:rFonts w:hint="eastAsia" w:hAnsi="宋体"/>
                <w:color w:val="auto"/>
                <w:szCs w:val="21"/>
              </w:rPr>
              <w:t>注：以提供证书复印件为评审依据，</w:t>
            </w:r>
            <w:r>
              <w:rPr>
                <w:rFonts w:hint="eastAsia" w:hAnsi="宋体"/>
                <w:b/>
                <w:color w:val="auto"/>
                <w:szCs w:val="21"/>
              </w:rPr>
              <w:t>没有提供不得分</w:t>
            </w:r>
            <w:r>
              <w:rPr>
                <w:rFonts w:hint="eastAsia" w:hAnsi="宋体"/>
                <w:color w:val="auto"/>
                <w:szCs w:val="21"/>
              </w:rPr>
              <w:t>（没有提供原件核查或提供核查的原件与复印件不一致的，不得分）。</w:t>
            </w:r>
          </w:p>
        </w:tc>
        <w:tc>
          <w:tcPr>
            <w:tcW w:w="913" w:type="dxa"/>
            <w:vAlign w:val="center"/>
          </w:tcPr>
          <w:p>
            <w:pPr>
              <w:snapToGrid w:val="0"/>
              <w:spacing w:line="300" w:lineRule="exact"/>
              <w:jc w:val="center"/>
              <w:rPr>
                <w:rFonts w:hint="eastAsia"/>
                <w:color w:val="auto"/>
              </w:rPr>
            </w:pPr>
            <w:r>
              <w:rPr>
                <w:rFonts w:hint="eastAsia" w:hAnsi="宋体"/>
                <w:color w:val="auto"/>
                <w:szCs w:val="21"/>
              </w:rPr>
              <w:t>5</w:t>
            </w:r>
          </w:p>
        </w:tc>
        <w:tc>
          <w:tcPr>
            <w:tcW w:w="913" w:type="dxa"/>
            <w:vAlign w:val="center"/>
          </w:tcPr>
          <w:p>
            <w:pPr>
              <w:jc w:val="center"/>
              <w:rPr>
                <w:rFonts w:hint="eastAsia" w:ascii="宋体" w:hAnsi="宋体"/>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jc w:val="center"/>
        </w:trPr>
        <w:tc>
          <w:tcPr>
            <w:tcW w:w="552" w:type="dxa"/>
            <w:vAlign w:val="center"/>
          </w:tcPr>
          <w:p>
            <w:pPr>
              <w:jc w:val="center"/>
              <w:rPr>
                <w:rFonts w:hint="eastAsia" w:ascii="宋体" w:hAnsi="宋体" w:eastAsia="宋体"/>
                <w:color w:val="auto"/>
                <w:sz w:val="18"/>
                <w:szCs w:val="18"/>
                <w:lang w:val="en-US" w:eastAsia="zh-CN"/>
              </w:rPr>
            </w:pPr>
            <w:r>
              <w:rPr>
                <w:rFonts w:hint="eastAsia" w:ascii="宋体" w:hAnsi="宋体"/>
                <w:color w:val="auto"/>
                <w:sz w:val="18"/>
                <w:szCs w:val="18"/>
                <w:lang w:val="en-US" w:eastAsia="zh-CN"/>
              </w:rPr>
              <w:t>7</w:t>
            </w:r>
          </w:p>
        </w:tc>
        <w:tc>
          <w:tcPr>
            <w:tcW w:w="1640" w:type="dxa"/>
            <w:vAlign w:val="center"/>
          </w:tcPr>
          <w:p>
            <w:pPr>
              <w:snapToGrid w:val="0"/>
              <w:spacing w:line="300" w:lineRule="exact"/>
              <w:jc w:val="center"/>
              <w:rPr>
                <w:color w:val="auto"/>
              </w:rPr>
            </w:pPr>
            <w:r>
              <w:rPr>
                <w:rFonts w:hint="eastAsia" w:hAnsi="宋体" w:cs="宋体"/>
                <w:color w:val="auto"/>
                <w:szCs w:val="21"/>
              </w:rPr>
              <w:t>承接工程项目审核工作业绩</w:t>
            </w:r>
          </w:p>
        </w:tc>
        <w:tc>
          <w:tcPr>
            <w:tcW w:w="10106" w:type="dxa"/>
            <w:vAlign w:val="center"/>
          </w:tcPr>
          <w:p>
            <w:pPr>
              <w:snapToGrid w:val="0"/>
              <w:spacing w:line="300" w:lineRule="exact"/>
              <w:rPr>
                <w:rFonts w:hint="eastAsia" w:hAnsi="宋体"/>
                <w:color w:val="auto"/>
                <w:szCs w:val="21"/>
                <w:highlight w:val="none"/>
              </w:rPr>
            </w:pPr>
            <w:r>
              <w:rPr>
                <w:rFonts w:hint="eastAsia" w:hAnsi="宋体"/>
                <w:color w:val="auto"/>
                <w:szCs w:val="21"/>
                <w:highlight w:val="none"/>
                <w:lang w:eastAsia="zh-CN"/>
              </w:rPr>
              <w:t>报价人</w:t>
            </w:r>
            <w:r>
              <w:rPr>
                <w:rFonts w:hint="eastAsia" w:hAnsi="宋体"/>
                <w:color w:val="auto"/>
                <w:szCs w:val="21"/>
                <w:highlight w:val="none"/>
              </w:rPr>
              <w:t>201</w:t>
            </w:r>
            <w:r>
              <w:rPr>
                <w:rFonts w:hint="eastAsia" w:hAnsi="宋体"/>
                <w:color w:val="auto"/>
                <w:szCs w:val="21"/>
                <w:highlight w:val="none"/>
                <w:lang w:val="en-US" w:eastAsia="zh-CN"/>
              </w:rPr>
              <w:t>5</w:t>
            </w:r>
            <w:r>
              <w:rPr>
                <w:rFonts w:hint="eastAsia" w:hAnsi="宋体"/>
                <w:color w:val="auto"/>
                <w:szCs w:val="21"/>
                <w:highlight w:val="none"/>
              </w:rPr>
              <w:t>年1月～201</w:t>
            </w:r>
            <w:r>
              <w:rPr>
                <w:rFonts w:hint="eastAsia" w:hAnsi="宋体"/>
                <w:color w:val="auto"/>
                <w:szCs w:val="21"/>
                <w:highlight w:val="none"/>
                <w:lang w:val="en-US" w:eastAsia="zh-CN"/>
              </w:rPr>
              <w:t>7</w:t>
            </w:r>
            <w:r>
              <w:rPr>
                <w:rFonts w:hint="eastAsia" w:hAnsi="宋体"/>
                <w:color w:val="auto"/>
                <w:szCs w:val="21"/>
                <w:highlight w:val="none"/>
              </w:rPr>
              <w:t>年12月承接工程项目的预算编制、预算审核及结算审核业绩总额综合评定，其中：</w:t>
            </w:r>
          </w:p>
          <w:p>
            <w:pPr>
              <w:snapToGrid w:val="0"/>
              <w:spacing w:line="300" w:lineRule="exact"/>
              <w:rPr>
                <w:rFonts w:hint="eastAsia" w:hAnsi="宋体"/>
                <w:color w:val="auto"/>
                <w:szCs w:val="21"/>
              </w:rPr>
            </w:pPr>
            <w:r>
              <w:rPr>
                <w:rFonts w:hint="eastAsia" w:hAnsi="宋体"/>
                <w:color w:val="auto"/>
                <w:szCs w:val="21"/>
              </w:rPr>
              <w:t>1）审核总额1000万元（含）～3000万元得1分；</w:t>
            </w:r>
          </w:p>
          <w:p>
            <w:pPr>
              <w:snapToGrid w:val="0"/>
              <w:spacing w:line="300" w:lineRule="exact"/>
              <w:rPr>
                <w:rFonts w:hint="eastAsia" w:hAnsi="宋体"/>
                <w:color w:val="auto"/>
                <w:szCs w:val="21"/>
              </w:rPr>
            </w:pPr>
            <w:r>
              <w:rPr>
                <w:rFonts w:hint="eastAsia" w:hAnsi="宋体"/>
                <w:color w:val="auto"/>
                <w:szCs w:val="21"/>
              </w:rPr>
              <w:t>2）审核总额3000万元（含）～1亿元得3分；</w:t>
            </w:r>
          </w:p>
          <w:p>
            <w:pPr>
              <w:snapToGrid w:val="0"/>
              <w:spacing w:line="300" w:lineRule="exact"/>
              <w:rPr>
                <w:rFonts w:hint="eastAsia" w:hAnsi="宋体"/>
                <w:color w:val="auto"/>
                <w:szCs w:val="21"/>
              </w:rPr>
            </w:pPr>
            <w:r>
              <w:rPr>
                <w:rFonts w:hint="eastAsia" w:hAnsi="宋体"/>
                <w:color w:val="auto"/>
                <w:szCs w:val="21"/>
              </w:rPr>
              <w:t>3）审核总额1亿元（含）～5亿元得6分；</w:t>
            </w:r>
          </w:p>
          <w:p>
            <w:pPr>
              <w:snapToGrid w:val="0"/>
              <w:spacing w:line="300" w:lineRule="exact"/>
              <w:rPr>
                <w:rFonts w:hint="eastAsia" w:hAnsi="宋体"/>
                <w:color w:val="auto"/>
                <w:szCs w:val="21"/>
              </w:rPr>
            </w:pPr>
            <w:r>
              <w:rPr>
                <w:rFonts w:hint="eastAsia" w:hAnsi="宋体"/>
                <w:color w:val="auto"/>
                <w:szCs w:val="21"/>
              </w:rPr>
              <w:t>4）审核总额5亿元（含）～10亿元得8分；</w:t>
            </w:r>
          </w:p>
          <w:p>
            <w:pPr>
              <w:snapToGrid w:val="0"/>
              <w:spacing w:line="300" w:lineRule="exact"/>
              <w:rPr>
                <w:rFonts w:hint="eastAsia"/>
                <w:color w:val="auto"/>
              </w:rPr>
            </w:pPr>
            <w:r>
              <w:rPr>
                <w:rFonts w:hint="eastAsia" w:hAnsi="宋体"/>
                <w:color w:val="auto"/>
                <w:szCs w:val="21"/>
              </w:rPr>
              <w:t>注：提供造价咨询合同</w:t>
            </w:r>
            <w:r>
              <w:rPr>
                <w:rFonts w:hint="eastAsia" w:hAnsi="宋体"/>
                <w:color w:val="auto"/>
                <w:szCs w:val="21"/>
                <w:lang w:eastAsia="zh-CN"/>
              </w:rPr>
              <w:t>复印件并加盖公章，</w:t>
            </w:r>
            <w:r>
              <w:rPr>
                <w:rFonts w:hint="eastAsia" w:hAnsi="宋体"/>
                <w:color w:val="auto"/>
                <w:szCs w:val="21"/>
              </w:rPr>
              <w:t>原件</w:t>
            </w:r>
            <w:r>
              <w:rPr>
                <w:rFonts w:hint="eastAsia" w:hAnsi="宋体"/>
                <w:color w:val="auto"/>
                <w:szCs w:val="21"/>
                <w:lang w:eastAsia="zh-CN"/>
              </w:rPr>
              <w:t>核查</w:t>
            </w:r>
            <w:r>
              <w:rPr>
                <w:rFonts w:hint="eastAsia" w:hAnsi="宋体"/>
                <w:color w:val="auto"/>
                <w:szCs w:val="21"/>
              </w:rPr>
              <w:t>。</w:t>
            </w:r>
            <w:r>
              <w:rPr>
                <w:rFonts w:hint="eastAsia" w:hAnsi="宋体"/>
                <w:color w:val="auto"/>
                <w:szCs w:val="21"/>
                <w:lang w:eastAsia="zh-CN"/>
              </w:rPr>
              <w:t>不提供的不得分。</w:t>
            </w:r>
          </w:p>
        </w:tc>
        <w:tc>
          <w:tcPr>
            <w:tcW w:w="913" w:type="dxa"/>
            <w:vAlign w:val="center"/>
          </w:tcPr>
          <w:p>
            <w:pPr>
              <w:snapToGrid w:val="0"/>
              <w:spacing w:line="300" w:lineRule="exact"/>
              <w:jc w:val="center"/>
              <w:rPr>
                <w:rFonts w:hint="eastAsia"/>
                <w:color w:val="auto"/>
              </w:rPr>
            </w:pPr>
            <w:r>
              <w:rPr>
                <w:rFonts w:hint="eastAsia" w:hAnsi="宋体"/>
                <w:color w:val="auto"/>
                <w:szCs w:val="21"/>
              </w:rPr>
              <w:t>8</w:t>
            </w:r>
          </w:p>
        </w:tc>
        <w:tc>
          <w:tcPr>
            <w:tcW w:w="913" w:type="dxa"/>
            <w:vAlign w:val="center"/>
          </w:tcPr>
          <w:p>
            <w:pPr>
              <w:jc w:val="center"/>
              <w:rPr>
                <w:rFonts w:hint="eastAsia" w:ascii="宋体" w:hAnsi="宋体"/>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jc w:val="center"/>
        </w:trPr>
        <w:tc>
          <w:tcPr>
            <w:tcW w:w="552" w:type="dxa"/>
            <w:vAlign w:val="center"/>
          </w:tcPr>
          <w:p>
            <w:pPr>
              <w:jc w:val="center"/>
              <w:rPr>
                <w:rFonts w:hint="eastAsia" w:ascii="宋体" w:hAnsi="宋体" w:eastAsia="宋体"/>
                <w:color w:val="auto"/>
                <w:sz w:val="18"/>
                <w:szCs w:val="18"/>
                <w:lang w:val="en-US" w:eastAsia="zh-CN"/>
              </w:rPr>
            </w:pPr>
            <w:r>
              <w:rPr>
                <w:rFonts w:hint="eastAsia" w:ascii="宋体" w:hAnsi="宋体"/>
                <w:color w:val="auto"/>
                <w:sz w:val="18"/>
                <w:szCs w:val="18"/>
                <w:lang w:val="en-US" w:eastAsia="zh-CN"/>
              </w:rPr>
              <w:t>8</w:t>
            </w:r>
          </w:p>
        </w:tc>
        <w:tc>
          <w:tcPr>
            <w:tcW w:w="1640" w:type="dxa"/>
            <w:vAlign w:val="center"/>
          </w:tcPr>
          <w:p>
            <w:pPr>
              <w:snapToGrid w:val="0"/>
              <w:spacing w:line="300" w:lineRule="exact"/>
              <w:jc w:val="center"/>
              <w:rPr>
                <w:color w:val="auto"/>
              </w:rPr>
            </w:pPr>
            <w:r>
              <w:rPr>
                <w:rFonts w:hint="eastAsia" w:hAnsi="宋体" w:cs="宋体"/>
                <w:color w:val="auto"/>
                <w:szCs w:val="21"/>
              </w:rPr>
              <w:t>承接委托的大型项目工作业绩</w:t>
            </w:r>
          </w:p>
        </w:tc>
        <w:tc>
          <w:tcPr>
            <w:tcW w:w="10106" w:type="dxa"/>
            <w:vAlign w:val="center"/>
          </w:tcPr>
          <w:p>
            <w:pPr>
              <w:snapToGrid w:val="0"/>
              <w:spacing w:line="300" w:lineRule="exact"/>
              <w:rPr>
                <w:rFonts w:hint="eastAsia" w:hAnsi="宋体"/>
                <w:color w:val="auto"/>
                <w:szCs w:val="21"/>
              </w:rPr>
            </w:pPr>
            <w:r>
              <w:rPr>
                <w:rFonts w:hint="eastAsia" w:hAnsi="宋体"/>
                <w:color w:val="auto"/>
                <w:szCs w:val="21"/>
                <w:lang w:eastAsia="zh-CN"/>
              </w:rPr>
              <w:t>报价人</w:t>
            </w:r>
            <w:r>
              <w:rPr>
                <w:rFonts w:hint="eastAsia" w:hAnsi="宋体"/>
                <w:color w:val="auto"/>
                <w:szCs w:val="21"/>
                <w:highlight w:val="none"/>
              </w:rPr>
              <w:t>201</w:t>
            </w:r>
            <w:r>
              <w:rPr>
                <w:rFonts w:hint="eastAsia" w:hAnsi="宋体"/>
                <w:color w:val="auto"/>
                <w:szCs w:val="21"/>
                <w:highlight w:val="none"/>
                <w:lang w:val="en-US" w:eastAsia="zh-CN"/>
              </w:rPr>
              <w:t>5</w:t>
            </w:r>
            <w:r>
              <w:rPr>
                <w:rFonts w:hint="eastAsia" w:hAnsi="宋体"/>
                <w:color w:val="auto"/>
                <w:szCs w:val="21"/>
                <w:highlight w:val="none"/>
              </w:rPr>
              <w:t>年1月～201</w:t>
            </w:r>
            <w:r>
              <w:rPr>
                <w:rFonts w:hint="eastAsia" w:hAnsi="宋体"/>
                <w:color w:val="auto"/>
                <w:szCs w:val="21"/>
                <w:highlight w:val="none"/>
                <w:lang w:val="en-US" w:eastAsia="zh-CN"/>
              </w:rPr>
              <w:t>7</w:t>
            </w:r>
            <w:r>
              <w:rPr>
                <w:rFonts w:hint="eastAsia" w:hAnsi="宋体"/>
                <w:color w:val="auto"/>
                <w:szCs w:val="21"/>
                <w:highlight w:val="none"/>
              </w:rPr>
              <w:t>年12月</w:t>
            </w:r>
            <w:r>
              <w:rPr>
                <w:rFonts w:hint="eastAsia" w:hAnsi="宋体" w:cs="宋体"/>
                <w:color w:val="auto"/>
                <w:szCs w:val="21"/>
              </w:rPr>
              <w:t>承接工程项目预算编制、预算审核及结算审核业绩</w:t>
            </w:r>
            <w:r>
              <w:rPr>
                <w:rFonts w:hint="eastAsia" w:hAnsi="宋体"/>
                <w:color w:val="auto"/>
                <w:szCs w:val="21"/>
              </w:rPr>
              <w:t>，其中：</w:t>
            </w:r>
          </w:p>
          <w:p>
            <w:pPr>
              <w:snapToGrid w:val="0"/>
              <w:spacing w:line="300" w:lineRule="exact"/>
              <w:rPr>
                <w:rFonts w:hint="eastAsia" w:hAnsi="宋体" w:cs="宋体"/>
                <w:color w:val="auto"/>
                <w:szCs w:val="21"/>
              </w:rPr>
            </w:pPr>
            <w:r>
              <w:rPr>
                <w:rFonts w:hint="eastAsia" w:hAnsi="宋体" w:cs="宋体"/>
                <w:color w:val="auto"/>
                <w:szCs w:val="21"/>
              </w:rPr>
              <w:t>1）审核总额3000万元（含）以上的，每个项目得1分；</w:t>
            </w:r>
          </w:p>
          <w:p>
            <w:pPr>
              <w:snapToGrid w:val="0"/>
              <w:spacing w:line="300" w:lineRule="exact"/>
              <w:rPr>
                <w:rFonts w:hint="eastAsia" w:hAnsi="宋体" w:cs="宋体"/>
                <w:color w:val="auto"/>
                <w:szCs w:val="21"/>
              </w:rPr>
            </w:pPr>
            <w:r>
              <w:rPr>
                <w:rFonts w:hint="eastAsia" w:hAnsi="宋体" w:cs="宋体"/>
                <w:color w:val="auto"/>
                <w:szCs w:val="21"/>
              </w:rPr>
              <w:t>2）审核总额1000万元~3000万元（不含）的，每个项目得0.5分；</w:t>
            </w:r>
          </w:p>
          <w:p>
            <w:pPr>
              <w:snapToGrid w:val="0"/>
              <w:spacing w:line="300" w:lineRule="exact"/>
              <w:rPr>
                <w:rFonts w:hint="eastAsia" w:hAnsi="宋体" w:cs="宋体"/>
                <w:color w:val="auto"/>
                <w:szCs w:val="21"/>
              </w:rPr>
            </w:pPr>
            <w:r>
              <w:rPr>
                <w:rFonts w:hint="eastAsia" w:hAnsi="宋体" w:cs="宋体"/>
                <w:color w:val="auto"/>
                <w:szCs w:val="21"/>
              </w:rPr>
              <w:t>本项最高得5分。</w:t>
            </w:r>
          </w:p>
          <w:p>
            <w:pPr>
              <w:snapToGrid w:val="0"/>
              <w:spacing w:line="300" w:lineRule="exact"/>
              <w:rPr>
                <w:rFonts w:hint="eastAsia"/>
                <w:color w:val="auto"/>
              </w:rPr>
            </w:pPr>
            <w:r>
              <w:rPr>
                <w:rFonts w:hint="eastAsia" w:hAnsi="宋体"/>
                <w:color w:val="auto"/>
                <w:szCs w:val="21"/>
              </w:rPr>
              <w:t>注：提供造价咨询合同</w:t>
            </w:r>
            <w:r>
              <w:rPr>
                <w:rFonts w:hint="eastAsia" w:hAnsi="宋体"/>
                <w:color w:val="auto"/>
                <w:szCs w:val="21"/>
                <w:lang w:eastAsia="zh-CN"/>
              </w:rPr>
              <w:t>复印件并加盖公章，</w:t>
            </w:r>
            <w:r>
              <w:rPr>
                <w:rFonts w:hint="eastAsia" w:hAnsi="宋体"/>
                <w:color w:val="auto"/>
                <w:szCs w:val="21"/>
              </w:rPr>
              <w:t>原件</w:t>
            </w:r>
            <w:r>
              <w:rPr>
                <w:rFonts w:hint="eastAsia" w:hAnsi="宋体"/>
                <w:color w:val="auto"/>
                <w:szCs w:val="21"/>
                <w:lang w:eastAsia="zh-CN"/>
              </w:rPr>
              <w:t>核查</w:t>
            </w:r>
            <w:r>
              <w:rPr>
                <w:rFonts w:hint="eastAsia" w:hAnsi="宋体"/>
                <w:color w:val="auto"/>
                <w:szCs w:val="21"/>
              </w:rPr>
              <w:t>。</w:t>
            </w:r>
            <w:r>
              <w:rPr>
                <w:rFonts w:hint="eastAsia" w:hAnsi="宋体"/>
                <w:color w:val="auto"/>
                <w:szCs w:val="21"/>
                <w:lang w:eastAsia="zh-CN"/>
              </w:rPr>
              <w:t>不提供的不得分。</w:t>
            </w:r>
          </w:p>
        </w:tc>
        <w:tc>
          <w:tcPr>
            <w:tcW w:w="913" w:type="dxa"/>
            <w:vAlign w:val="center"/>
          </w:tcPr>
          <w:p>
            <w:pPr>
              <w:snapToGrid w:val="0"/>
              <w:spacing w:line="300" w:lineRule="exact"/>
              <w:jc w:val="center"/>
              <w:rPr>
                <w:rFonts w:hint="eastAsia"/>
                <w:color w:val="auto"/>
              </w:rPr>
            </w:pPr>
            <w:r>
              <w:rPr>
                <w:rFonts w:hint="eastAsia" w:hAnsi="宋体" w:cs="宋体"/>
                <w:color w:val="auto"/>
                <w:szCs w:val="21"/>
              </w:rPr>
              <w:t>5</w:t>
            </w:r>
          </w:p>
        </w:tc>
        <w:tc>
          <w:tcPr>
            <w:tcW w:w="913" w:type="dxa"/>
            <w:vAlign w:val="center"/>
          </w:tcPr>
          <w:p>
            <w:pPr>
              <w:jc w:val="center"/>
              <w:rPr>
                <w:rFonts w:hint="eastAsia" w:ascii="宋体" w:hAnsi="宋体"/>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jc w:val="center"/>
        </w:trPr>
        <w:tc>
          <w:tcPr>
            <w:tcW w:w="552" w:type="dxa"/>
            <w:vAlign w:val="center"/>
          </w:tcPr>
          <w:p>
            <w:pPr>
              <w:jc w:val="center"/>
              <w:rPr>
                <w:rFonts w:hint="eastAsia" w:ascii="宋体" w:hAnsi="宋体" w:eastAsia="宋体"/>
                <w:color w:val="auto"/>
                <w:sz w:val="18"/>
                <w:szCs w:val="18"/>
                <w:lang w:val="en-US" w:eastAsia="zh-CN"/>
              </w:rPr>
            </w:pPr>
            <w:r>
              <w:rPr>
                <w:rFonts w:hint="eastAsia" w:ascii="宋体" w:hAnsi="宋体"/>
                <w:color w:val="auto"/>
                <w:sz w:val="18"/>
                <w:szCs w:val="18"/>
                <w:lang w:val="en-US" w:eastAsia="zh-CN"/>
              </w:rPr>
              <w:t>9</w:t>
            </w:r>
          </w:p>
        </w:tc>
        <w:tc>
          <w:tcPr>
            <w:tcW w:w="1640" w:type="dxa"/>
            <w:vAlign w:val="center"/>
          </w:tcPr>
          <w:p>
            <w:pPr>
              <w:snapToGrid w:val="0"/>
              <w:spacing w:line="300" w:lineRule="exact"/>
              <w:jc w:val="center"/>
              <w:rPr>
                <w:color w:val="auto"/>
              </w:rPr>
            </w:pPr>
            <w:r>
              <w:rPr>
                <w:rFonts w:hint="eastAsia" w:hAnsi="宋体" w:cs="宋体"/>
                <w:color w:val="auto"/>
                <w:szCs w:val="21"/>
              </w:rPr>
              <w:t>造价咨询业务收入</w:t>
            </w:r>
          </w:p>
        </w:tc>
        <w:tc>
          <w:tcPr>
            <w:tcW w:w="10106" w:type="dxa"/>
            <w:vAlign w:val="center"/>
          </w:tcPr>
          <w:p>
            <w:pPr>
              <w:snapToGrid w:val="0"/>
              <w:spacing w:line="300" w:lineRule="exact"/>
              <w:rPr>
                <w:rFonts w:hint="eastAsia" w:hAnsi="宋体"/>
                <w:color w:val="auto"/>
                <w:szCs w:val="21"/>
              </w:rPr>
            </w:pPr>
            <w:r>
              <w:rPr>
                <w:rFonts w:hint="eastAsia" w:hAnsi="宋体"/>
                <w:color w:val="auto"/>
                <w:szCs w:val="21"/>
                <w:lang w:eastAsia="zh-CN"/>
              </w:rPr>
              <w:t>报价人</w:t>
            </w:r>
            <w:r>
              <w:rPr>
                <w:rFonts w:hint="eastAsia" w:hAnsi="宋体"/>
                <w:color w:val="auto"/>
                <w:szCs w:val="21"/>
                <w:highlight w:val="none"/>
              </w:rPr>
              <w:t>201</w:t>
            </w:r>
            <w:r>
              <w:rPr>
                <w:rFonts w:hint="eastAsia" w:hAnsi="宋体"/>
                <w:color w:val="auto"/>
                <w:szCs w:val="21"/>
                <w:highlight w:val="none"/>
                <w:lang w:val="en-US" w:eastAsia="zh-CN"/>
              </w:rPr>
              <w:t>5</w:t>
            </w:r>
            <w:r>
              <w:rPr>
                <w:rFonts w:hint="eastAsia" w:hAnsi="宋体"/>
                <w:color w:val="auto"/>
                <w:szCs w:val="21"/>
                <w:highlight w:val="none"/>
              </w:rPr>
              <w:t>年1月～201</w:t>
            </w:r>
            <w:r>
              <w:rPr>
                <w:rFonts w:hint="eastAsia" w:hAnsi="宋体"/>
                <w:color w:val="auto"/>
                <w:szCs w:val="21"/>
                <w:highlight w:val="none"/>
                <w:lang w:val="en-US" w:eastAsia="zh-CN"/>
              </w:rPr>
              <w:t>7</w:t>
            </w:r>
            <w:r>
              <w:rPr>
                <w:rFonts w:hint="eastAsia" w:hAnsi="宋体"/>
                <w:color w:val="auto"/>
                <w:szCs w:val="21"/>
                <w:highlight w:val="none"/>
              </w:rPr>
              <w:t>年12月</w:t>
            </w:r>
            <w:r>
              <w:rPr>
                <w:rFonts w:hint="eastAsia" w:hAnsi="宋体"/>
                <w:color w:val="auto"/>
                <w:szCs w:val="21"/>
              </w:rPr>
              <w:t>承接工程项目，审核费合计数综合评定，其中：</w:t>
            </w:r>
          </w:p>
          <w:p>
            <w:pPr>
              <w:snapToGrid w:val="0"/>
              <w:spacing w:line="300" w:lineRule="exact"/>
              <w:rPr>
                <w:rFonts w:hint="eastAsia" w:hAnsi="宋体"/>
                <w:color w:val="auto"/>
                <w:szCs w:val="21"/>
              </w:rPr>
            </w:pPr>
            <w:r>
              <w:rPr>
                <w:rFonts w:hint="eastAsia" w:hAnsi="宋体"/>
                <w:color w:val="auto"/>
                <w:szCs w:val="21"/>
              </w:rPr>
              <w:t>1）业务收入100万元（含）～200万元得6分；</w:t>
            </w:r>
          </w:p>
          <w:p>
            <w:pPr>
              <w:snapToGrid w:val="0"/>
              <w:spacing w:line="300" w:lineRule="exact"/>
              <w:rPr>
                <w:rFonts w:hint="eastAsia" w:hAnsi="宋体"/>
                <w:color w:val="auto"/>
                <w:szCs w:val="21"/>
              </w:rPr>
            </w:pPr>
            <w:r>
              <w:rPr>
                <w:rFonts w:hint="eastAsia" w:hAnsi="宋体"/>
                <w:color w:val="auto"/>
                <w:szCs w:val="21"/>
              </w:rPr>
              <w:t>2）业务收入200万元（含）～300万元得8分；</w:t>
            </w:r>
          </w:p>
          <w:p>
            <w:pPr>
              <w:snapToGrid w:val="0"/>
              <w:spacing w:line="300" w:lineRule="exact"/>
              <w:rPr>
                <w:rFonts w:hint="eastAsia" w:hAnsi="宋体"/>
                <w:color w:val="auto"/>
                <w:szCs w:val="21"/>
              </w:rPr>
            </w:pPr>
            <w:r>
              <w:rPr>
                <w:rFonts w:hint="eastAsia" w:hAnsi="宋体"/>
                <w:color w:val="auto"/>
                <w:szCs w:val="21"/>
              </w:rPr>
              <w:t>3）业务收入300万元（含）～500万元得10分；</w:t>
            </w:r>
          </w:p>
          <w:p>
            <w:pPr>
              <w:snapToGrid w:val="0"/>
              <w:spacing w:line="300" w:lineRule="exact"/>
              <w:rPr>
                <w:rFonts w:hint="eastAsia"/>
                <w:color w:val="auto"/>
              </w:rPr>
            </w:pPr>
            <w:r>
              <w:rPr>
                <w:rFonts w:hint="eastAsia" w:hAnsi="宋体"/>
                <w:color w:val="auto"/>
                <w:szCs w:val="21"/>
                <w:highlight w:val="none"/>
                <w:lang w:eastAsia="zh-CN"/>
              </w:rPr>
              <w:t>注：</w:t>
            </w:r>
            <w:r>
              <w:rPr>
                <w:rFonts w:hint="eastAsia" w:hAnsi="宋体"/>
                <w:color w:val="auto"/>
                <w:szCs w:val="21"/>
                <w:highlight w:val="none"/>
              </w:rPr>
              <w:t>以纳税凭证或财务审计报告复印件为评审依据</w:t>
            </w:r>
            <w:r>
              <w:rPr>
                <w:rFonts w:hint="eastAsia" w:hAnsi="宋体"/>
                <w:color w:val="auto"/>
                <w:szCs w:val="21"/>
                <w:highlight w:val="none"/>
                <w:lang w:eastAsia="zh-CN"/>
              </w:rPr>
              <w:t>。</w:t>
            </w:r>
            <w:r>
              <w:rPr>
                <w:rFonts w:hint="eastAsia" w:hAnsi="宋体"/>
                <w:color w:val="auto"/>
                <w:szCs w:val="21"/>
                <w:lang w:eastAsia="zh-CN"/>
              </w:rPr>
              <w:t>不提供的不得分。</w:t>
            </w:r>
          </w:p>
        </w:tc>
        <w:tc>
          <w:tcPr>
            <w:tcW w:w="913" w:type="dxa"/>
            <w:vAlign w:val="center"/>
          </w:tcPr>
          <w:p>
            <w:pPr>
              <w:snapToGrid w:val="0"/>
              <w:spacing w:line="300" w:lineRule="exact"/>
              <w:jc w:val="center"/>
              <w:rPr>
                <w:rFonts w:hint="eastAsia"/>
                <w:color w:val="auto"/>
              </w:rPr>
            </w:pPr>
            <w:r>
              <w:rPr>
                <w:rFonts w:hint="eastAsia" w:hAnsi="宋体" w:cs="宋体"/>
                <w:color w:val="auto"/>
                <w:szCs w:val="21"/>
              </w:rPr>
              <w:t>10</w:t>
            </w:r>
          </w:p>
        </w:tc>
        <w:tc>
          <w:tcPr>
            <w:tcW w:w="913" w:type="dxa"/>
            <w:vAlign w:val="center"/>
          </w:tcPr>
          <w:p>
            <w:pPr>
              <w:jc w:val="center"/>
              <w:rPr>
                <w:rFonts w:hint="eastAsia" w:ascii="宋体" w:hAnsi="宋体"/>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8" w:hRule="atLeast"/>
          <w:jc w:val="center"/>
        </w:trPr>
        <w:tc>
          <w:tcPr>
            <w:tcW w:w="552" w:type="dxa"/>
            <w:vAlign w:val="center"/>
          </w:tcPr>
          <w:p>
            <w:pPr>
              <w:jc w:val="center"/>
              <w:rPr>
                <w:rFonts w:hint="eastAsia" w:ascii="宋体" w:hAnsi="宋体" w:eastAsia="宋体"/>
                <w:color w:val="auto"/>
                <w:sz w:val="18"/>
                <w:szCs w:val="18"/>
                <w:lang w:val="en-US" w:eastAsia="zh-CN"/>
              </w:rPr>
            </w:pPr>
            <w:r>
              <w:rPr>
                <w:rFonts w:hint="eastAsia" w:ascii="宋体" w:hAnsi="宋体"/>
                <w:color w:val="auto"/>
                <w:sz w:val="18"/>
                <w:szCs w:val="18"/>
                <w:lang w:val="en-US" w:eastAsia="zh-CN"/>
              </w:rPr>
              <w:t>10</w:t>
            </w:r>
          </w:p>
        </w:tc>
        <w:tc>
          <w:tcPr>
            <w:tcW w:w="1640" w:type="dxa"/>
            <w:vAlign w:val="center"/>
          </w:tcPr>
          <w:p>
            <w:pPr>
              <w:snapToGrid w:val="0"/>
              <w:spacing w:line="300" w:lineRule="exact"/>
              <w:jc w:val="center"/>
              <w:rPr>
                <w:color w:val="auto"/>
              </w:rPr>
            </w:pPr>
            <w:r>
              <w:rPr>
                <w:rFonts w:hint="eastAsia" w:hAnsi="宋体"/>
                <w:color w:val="auto"/>
                <w:szCs w:val="21"/>
              </w:rPr>
              <w:t>业绩类型</w:t>
            </w:r>
          </w:p>
        </w:tc>
        <w:tc>
          <w:tcPr>
            <w:tcW w:w="10106" w:type="dxa"/>
            <w:vAlign w:val="center"/>
          </w:tcPr>
          <w:p>
            <w:pPr>
              <w:rPr>
                <w:rFonts w:hint="eastAsia" w:cs="宋体"/>
                <w:color w:val="auto"/>
                <w:szCs w:val="21"/>
              </w:rPr>
            </w:pPr>
            <w:r>
              <w:rPr>
                <w:rFonts w:hint="eastAsia" w:cs="宋体"/>
                <w:color w:val="auto"/>
                <w:szCs w:val="21"/>
                <w:lang w:eastAsia="zh-CN"/>
              </w:rPr>
              <w:t>报价人</w:t>
            </w:r>
            <w:r>
              <w:rPr>
                <w:rFonts w:hint="eastAsia" w:cs="宋体"/>
                <w:color w:val="auto"/>
                <w:szCs w:val="21"/>
              </w:rPr>
              <w:t>近三年完成的不同类型工程编审业绩计分，共分为</w:t>
            </w:r>
            <w:r>
              <w:rPr>
                <w:color w:val="auto"/>
                <w:szCs w:val="21"/>
              </w:rPr>
              <w:t>8</w:t>
            </w:r>
            <w:r>
              <w:rPr>
                <w:rFonts w:hint="eastAsia" w:cs="宋体"/>
                <w:color w:val="auto"/>
                <w:szCs w:val="21"/>
              </w:rPr>
              <w:t>种类型，其中：</w:t>
            </w:r>
            <w:r>
              <w:rPr>
                <w:rFonts w:cs="宋体"/>
                <w:color w:val="auto"/>
                <w:szCs w:val="21"/>
              </w:rPr>
              <w:t xml:space="preserve"> 1</w:t>
            </w:r>
            <w:r>
              <w:rPr>
                <w:rFonts w:hint="eastAsia" w:cs="宋体"/>
                <w:color w:val="auto"/>
                <w:szCs w:val="21"/>
              </w:rPr>
              <w:t>）公路或桥梁；</w:t>
            </w:r>
            <w:r>
              <w:rPr>
                <w:rFonts w:cs="宋体"/>
                <w:color w:val="auto"/>
                <w:szCs w:val="21"/>
              </w:rPr>
              <w:t>2</w:t>
            </w:r>
            <w:r>
              <w:rPr>
                <w:rFonts w:hint="eastAsia" w:cs="宋体"/>
                <w:color w:val="auto"/>
                <w:szCs w:val="21"/>
              </w:rPr>
              <w:t>）水利；</w:t>
            </w:r>
            <w:r>
              <w:rPr>
                <w:rFonts w:cs="宋体"/>
                <w:color w:val="auto"/>
                <w:szCs w:val="21"/>
              </w:rPr>
              <w:t>3</w:t>
            </w:r>
            <w:r>
              <w:rPr>
                <w:rFonts w:hint="eastAsia" w:cs="宋体"/>
                <w:color w:val="auto"/>
                <w:szCs w:val="21"/>
              </w:rPr>
              <w:t>）电力；</w:t>
            </w:r>
            <w:r>
              <w:rPr>
                <w:rFonts w:cs="宋体"/>
                <w:color w:val="auto"/>
                <w:szCs w:val="21"/>
              </w:rPr>
              <w:t>4</w:t>
            </w:r>
            <w:r>
              <w:rPr>
                <w:rFonts w:hint="eastAsia" w:cs="宋体"/>
                <w:color w:val="auto"/>
                <w:szCs w:val="21"/>
              </w:rPr>
              <w:t>）土建；</w:t>
            </w:r>
            <w:r>
              <w:rPr>
                <w:rFonts w:cs="宋体"/>
                <w:color w:val="auto"/>
                <w:szCs w:val="21"/>
              </w:rPr>
              <w:t>5</w:t>
            </w:r>
            <w:r>
              <w:rPr>
                <w:rFonts w:hint="eastAsia" w:cs="宋体"/>
                <w:color w:val="auto"/>
                <w:szCs w:val="21"/>
              </w:rPr>
              <w:t>）市政公用；</w:t>
            </w:r>
            <w:r>
              <w:rPr>
                <w:rFonts w:cs="宋体"/>
                <w:color w:val="auto"/>
                <w:szCs w:val="21"/>
              </w:rPr>
              <w:t>6</w:t>
            </w:r>
            <w:r>
              <w:rPr>
                <w:rFonts w:hint="eastAsia" w:cs="宋体"/>
                <w:color w:val="auto"/>
                <w:szCs w:val="21"/>
              </w:rPr>
              <w:t>）装饰；</w:t>
            </w:r>
            <w:r>
              <w:rPr>
                <w:rFonts w:cs="宋体"/>
                <w:color w:val="auto"/>
                <w:szCs w:val="21"/>
              </w:rPr>
              <w:t>7</w:t>
            </w:r>
            <w:r>
              <w:rPr>
                <w:rFonts w:hint="eastAsia" w:cs="宋体"/>
                <w:color w:val="auto"/>
                <w:szCs w:val="21"/>
              </w:rPr>
              <w:t>）安装；</w:t>
            </w:r>
            <w:r>
              <w:rPr>
                <w:rFonts w:cs="宋体"/>
                <w:color w:val="auto"/>
                <w:szCs w:val="21"/>
              </w:rPr>
              <w:t>8</w:t>
            </w:r>
            <w:r>
              <w:rPr>
                <w:rFonts w:hint="eastAsia" w:cs="宋体"/>
                <w:color w:val="auto"/>
                <w:szCs w:val="21"/>
              </w:rPr>
              <w:t>）园林或绿化</w:t>
            </w:r>
            <w:r>
              <w:rPr>
                <w:rFonts w:cs="宋体"/>
                <w:color w:val="auto"/>
                <w:szCs w:val="21"/>
              </w:rPr>
              <w:t xml:space="preserve"> </w:t>
            </w:r>
            <w:r>
              <w:rPr>
                <w:rFonts w:hint="eastAsia" w:cs="宋体"/>
                <w:color w:val="auto"/>
                <w:szCs w:val="21"/>
              </w:rPr>
              <w:t>每一类型得</w:t>
            </w:r>
            <w:r>
              <w:rPr>
                <w:rFonts w:cs="宋体"/>
                <w:color w:val="auto"/>
                <w:szCs w:val="21"/>
              </w:rPr>
              <w:t>0.5</w:t>
            </w:r>
            <w:r>
              <w:rPr>
                <w:rFonts w:hint="eastAsia" w:cs="宋体"/>
                <w:color w:val="auto"/>
                <w:szCs w:val="21"/>
              </w:rPr>
              <w:t>分，本项最高得</w:t>
            </w:r>
            <w:r>
              <w:rPr>
                <w:rFonts w:cs="宋体"/>
                <w:color w:val="auto"/>
                <w:szCs w:val="21"/>
              </w:rPr>
              <w:t>4</w:t>
            </w:r>
            <w:r>
              <w:rPr>
                <w:rFonts w:hint="eastAsia" w:cs="宋体"/>
                <w:color w:val="auto"/>
                <w:szCs w:val="21"/>
              </w:rPr>
              <w:t>分。</w:t>
            </w:r>
          </w:p>
          <w:p>
            <w:pPr>
              <w:snapToGrid w:val="0"/>
              <w:spacing w:line="300" w:lineRule="exact"/>
              <w:rPr>
                <w:rFonts w:hint="eastAsia"/>
                <w:color w:val="auto"/>
              </w:rPr>
            </w:pPr>
            <w:r>
              <w:rPr>
                <w:rFonts w:hint="eastAsia" w:hAnsi="宋体"/>
                <w:color w:val="auto"/>
                <w:szCs w:val="21"/>
              </w:rPr>
              <w:t>注：以合同和经委托人确认的成果凭证复印件为评审依据。</w:t>
            </w:r>
            <w:r>
              <w:rPr>
                <w:rFonts w:hint="eastAsia" w:hAnsi="宋体"/>
                <w:color w:val="auto"/>
                <w:szCs w:val="21"/>
                <w:lang w:eastAsia="zh-CN"/>
              </w:rPr>
              <w:t>不提供的不得分。</w:t>
            </w:r>
          </w:p>
        </w:tc>
        <w:tc>
          <w:tcPr>
            <w:tcW w:w="913" w:type="dxa"/>
            <w:vAlign w:val="center"/>
          </w:tcPr>
          <w:p>
            <w:pPr>
              <w:snapToGrid w:val="0"/>
              <w:spacing w:line="300" w:lineRule="exact"/>
              <w:jc w:val="center"/>
              <w:rPr>
                <w:rFonts w:hint="eastAsia"/>
                <w:color w:val="auto"/>
              </w:rPr>
            </w:pPr>
            <w:r>
              <w:rPr>
                <w:rFonts w:hint="eastAsia" w:hAnsi="宋体"/>
                <w:color w:val="auto"/>
                <w:szCs w:val="21"/>
              </w:rPr>
              <w:t>4</w:t>
            </w:r>
          </w:p>
        </w:tc>
        <w:tc>
          <w:tcPr>
            <w:tcW w:w="913" w:type="dxa"/>
            <w:vAlign w:val="center"/>
          </w:tcPr>
          <w:p>
            <w:pPr>
              <w:jc w:val="center"/>
              <w:rPr>
                <w:rFonts w:hint="eastAsia" w:ascii="宋体" w:hAnsi="宋体"/>
                <w:bCs/>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2" w:hRule="atLeast"/>
          <w:jc w:val="center"/>
        </w:trPr>
        <w:tc>
          <w:tcPr>
            <w:tcW w:w="12298" w:type="dxa"/>
            <w:gridSpan w:val="3"/>
            <w:vAlign w:val="center"/>
          </w:tcPr>
          <w:p>
            <w:pPr>
              <w:widowControl/>
              <w:jc w:val="center"/>
              <w:rPr>
                <w:rFonts w:hint="eastAsia" w:ascii="宋体" w:hAnsi="宋体" w:cs="宋体"/>
                <w:color w:val="auto"/>
                <w:kern w:val="0"/>
                <w:sz w:val="18"/>
                <w:szCs w:val="18"/>
              </w:rPr>
            </w:pPr>
            <w:r>
              <w:rPr>
                <w:rFonts w:hint="eastAsia" w:ascii="宋体" w:hAnsi="宋体" w:cs="宋体"/>
                <w:color w:val="auto"/>
                <w:kern w:val="0"/>
                <w:sz w:val="18"/>
                <w:szCs w:val="18"/>
              </w:rPr>
              <w:t>合计得分</w:t>
            </w:r>
          </w:p>
        </w:tc>
        <w:tc>
          <w:tcPr>
            <w:tcW w:w="913" w:type="dxa"/>
            <w:vAlign w:val="center"/>
          </w:tcPr>
          <w:p>
            <w:pPr>
              <w:snapToGrid w:val="0"/>
              <w:spacing w:line="300" w:lineRule="exact"/>
              <w:jc w:val="center"/>
              <w:rPr>
                <w:rFonts w:hint="eastAsia" w:hAnsi="宋体"/>
                <w:color w:val="auto"/>
                <w:szCs w:val="21"/>
                <w:lang w:eastAsia="zh-CN"/>
              </w:rPr>
            </w:pPr>
            <w:r>
              <w:rPr>
                <w:rFonts w:hint="eastAsia" w:hAnsi="宋体"/>
                <w:color w:val="auto"/>
                <w:szCs w:val="21"/>
                <w:lang w:val="en-US" w:eastAsia="zh-CN"/>
              </w:rPr>
              <w:t>100</w:t>
            </w:r>
          </w:p>
        </w:tc>
        <w:tc>
          <w:tcPr>
            <w:tcW w:w="913" w:type="dxa"/>
            <w:vAlign w:val="center"/>
          </w:tcPr>
          <w:p>
            <w:pPr>
              <w:snapToGrid w:val="0"/>
              <w:spacing w:line="300" w:lineRule="exact"/>
              <w:jc w:val="center"/>
              <w:rPr>
                <w:rFonts w:hint="eastAsia" w:hAnsi="宋体"/>
                <w:color w:val="auto"/>
                <w:szCs w:val="21"/>
              </w:rPr>
            </w:pPr>
          </w:p>
        </w:tc>
      </w:tr>
    </w:tbl>
    <w:p>
      <w:pPr>
        <w:rPr>
          <w:color w:val="auto"/>
        </w:rPr>
      </w:pPr>
    </w:p>
    <w:p>
      <w:pPr>
        <w:rPr>
          <w:rFonts w:hint="eastAsia"/>
          <w:color w:val="auto"/>
        </w:rPr>
      </w:pPr>
      <w:r>
        <w:rPr>
          <w:rFonts w:hint="eastAsia"/>
          <w:color w:val="auto"/>
        </w:rPr>
        <w:t>注：1、评委按分项的规定分数范围内给各报价人进行打分，并统计总分。</w:t>
      </w:r>
    </w:p>
    <w:p>
      <w:pPr>
        <w:rPr>
          <w:color w:val="auto"/>
        </w:rPr>
      </w:pPr>
    </w:p>
    <w:p>
      <w:pPr>
        <w:spacing w:line="360" w:lineRule="auto"/>
        <w:rPr>
          <w:color w:val="auto"/>
        </w:rPr>
        <w:sectPr>
          <w:headerReference r:id="rId7" w:type="default"/>
          <w:footerReference r:id="rId8" w:type="default"/>
          <w:pgSz w:w="16840" w:h="11907" w:orient="landscape"/>
          <w:pgMar w:top="1418" w:right="1440" w:bottom="1418" w:left="1559" w:header="851" w:footer="851" w:gutter="0"/>
          <w:cols w:space="720" w:num="1"/>
          <w:docGrid w:linePitch="285" w:charSpace="0"/>
        </w:sectPr>
      </w:pPr>
    </w:p>
    <w:p>
      <w:pPr>
        <w:spacing w:line="360" w:lineRule="auto"/>
        <w:jc w:val="center"/>
        <w:rPr>
          <w:rFonts w:ascii="宋体"/>
          <w:b/>
          <w:color w:val="auto"/>
          <w:sz w:val="44"/>
        </w:rPr>
      </w:pPr>
    </w:p>
    <w:p>
      <w:pPr>
        <w:spacing w:line="360" w:lineRule="auto"/>
        <w:jc w:val="center"/>
        <w:rPr>
          <w:rFonts w:ascii="宋体"/>
          <w:b/>
          <w:color w:val="auto"/>
          <w:sz w:val="44"/>
        </w:rPr>
      </w:pPr>
    </w:p>
    <w:p>
      <w:pPr>
        <w:spacing w:line="360" w:lineRule="auto"/>
        <w:jc w:val="center"/>
        <w:rPr>
          <w:rFonts w:ascii="宋体"/>
          <w:b/>
          <w:color w:val="auto"/>
          <w:sz w:val="44"/>
        </w:rPr>
      </w:pPr>
    </w:p>
    <w:p>
      <w:pPr>
        <w:spacing w:line="360" w:lineRule="auto"/>
        <w:jc w:val="center"/>
        <w:rPr>
          <w:rFonts w:ascii="宋体"/>
          <w:b/>
          <w:color w:val="auto"/>
          <w:sz w:val="44"/>
        </w:rPr>
      </w:pPr>
    </w:p>
    <w:p>
      <w:pPr>
        <w:spacing w:line="360" w:lineRule="auto"/>
        <w:jc w:val="center"/>
        <w:rPr>
          <w:rFonts w:ascii="宋体"/>
          <w:b/>
          <w:color w:val="auto"/>
          <w:sz w:val="44"/>
        </w:rPr>
      </w:pPr>
    </w:p>
    <w:p>
      <w:pPr>
        <w:spacing w:line="360" w:lineRule="auto"/>
        <w:jc w:val="center"/>
        <w:rPr>
          <w:rFonts w:ascii="宋体"/>
          <w:b/>
          <w:color w:val="auto"/>
          <w:sz w:val="44"/>
        </w:rPr>
      </w:pPr>
    </w:p>
    <w:p>
      <w:pPr>
        <w:adjustRightInd w:val="0"/>
        <w:snapToGrid w:val="0"/>
        <w:spacing w:line="360" w:lineRule="auto"/>
        <w:ind w:left="851" w:hanging="851"/>
        <w:jc w:val="center"/>
        <w:rPr>
          <w:rFonts w:ascii="黑体" w:eastAsia="黑体"/>
          <w:b/>
          <w:color w:val="auto"/>
          <w:sz w:val="44"/>
        </w:rPr>
      </w:pPr>
      <w:r>
        <w:rPr>
          <w:rFonts w:hint="eastAsia" w:ascii="黑体" w:eastAsia="黑体"/>
          <w:b/>
          <w:color w:val="auto"/>
          <w:sz w:val="44"/>
        </w:rPr>
        <w:t>第三部分</w:t>
      </w:r>
    </w:p>
    <w:p>
      <w:pPr>
        <w:adjustRightInd w:val="0"/>
        <w:snapToGrid w:val="0"/>
        <w:ind w:left="851" w:hanging="851"/>
        <w:jc w:val="center"/>
        <w:rPr>
          <w:rFonts w:ascii="黑体" w:eastAsia="黑体"/>
          <w:b/>
          <w:color w:val="auto"/>
          <w:sz w:val="44"/>
        </w:rPr>
      </w:pPr>
    </w:p>
    <w:p>
      <w:pPr>
        <w:adjustRightInd w:val="0"/>
        <w:snapToGrid w:val="0"/>
        <w:spacing w:line="360" w:lineRule="auto"/>
        <w:ind w:left="851" w:hanging="851"/>
        <w:jc w:val="center"/>
        <w:rPr>
          <w:rFonts w:ascii="黑体" w:eastAsia="黑体"/>
          <w:b/>
          <w:color w:val="auto"/>
          <w:sz w:val="44"/>
        </w:rPr>
      </w:pPr>
      <w:r>
        <w:rPr>
          <w:rFonts w:hint="eastAsia" w:ascii="黑体" w:eastAsia="黑体"/>
          <w:b/>
          <w:color w:val="auto"/>
          <w:sz w:val="44"/>
        </w:rPr>
        <w:t>用 户 需 求 书</w:t>
      </w:r>
    </w:p>
    <w:p>
      <w:pPr>
        <w:tabs>
          <w:tab w:val="left" w:pos="916"/>
          <w:tab w:val="left" w:pos="1832"/>
          <w:tab w:val="left" w:pos="2748"/>
          <w:tab w:val="center" w:pos="453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100" w:line="360" w:lineRule="auto"/>
        <w:jc w:val="center"/>
        <w:rPr>
          <w:rFonts w:ascii="宋体" w:hAnsi="宋体"/>
          <w:b/>
          <w:color w:val="auto"/>
          <w:szCs w:val="21"/>
        </w:rPr>
      </w:pPr>
    </w:p>
    <w:p>
      <w:pPr>
        <w:adjustRightInd w:val="0"/>
        <w:snapToGrid w:val="0"/>
        <w:spacing w:line="360" w:lineRule="auto"/>
        <w:rPr>
          <w:rFonts w:ascii="宋体" w:hAnsi="宋体"/>
          <w:b/>
          <w:color w:val="auto"/>
          <w:szCs w:val="21"/>
        </w:rPr>
      </w:pPr>
    </w:p>
    <w:p>
      <w:pPr>
        <w:keepNext w:val="0"/>
        <w:keepLines w:val="0"/>
        <w:pageBreakBefore w:val="0"/>
        <w:kinsoku/>
        <w:wordWrap/>
        <w:overflowPunct/>
        <w:topLinePunct w:val="0"/>
        <w:bidi w:val="0"/>
        <w:snapToGrid/>
        <w:spacing w:line="480" w:lineRule="exact"/>
        <w:ind w:left="8" w:leftChars="0" w:right="0" w:rightChars="0" w:hanging="8" w:firstLineChars="0"/>
        <w:jc w:val="left"/>
        <w:textAlignment w:val="auto"/>
        <w:rPr>
          <w:rFonts w:hint="eastAsia" w:ascii="宋体" w:hAnsi="宋体"/>
          <w:color w:val="auto"/>
          <w:szCs w:val="21"/>
          <w:highlight w:val="none"/>
          <w:lang w:val="en-US" w:eastAsia="zh-CN"/>
        </w:rPr>
        <w:sectPr>
          <w:headerReference r:id="rId9" w:type="default"/>
          <w:footerReference r:id="rId10" w:type="default"/>
          <w:type w:val="continuous"/>
          <w:pgSz w:w="11907" w:h="16840"/>
          <w:pgMar w:top="1440" w:right="1418" w:bottom="779" w:left="1418" w:header="737" w:footer="737" w:gutter="0"/>
          <w:pgNumType w:start="1"/>
          <w:cols w:space="720" w:num="1"/>
          <w:docGrid w:linePitch="285" w:charSpace="0"/>
        </w:sectPr>
      </w:pPr>
      <w:r>
        <w:rPr>
          <w:color w:val="auto"/>
        </w:rPr>
        <w:br w:type="page"/>
      </w:r>
    </w:p>
    <w:p>
      <w:pPr>
        <w:keepNext w:val="0"/>
        <w:keepLines w:val="0"/>
        <w:pageBreakBefore w:val="0"/>
        <w:widowControl/>
        <w:kinsoku/>
        <w:wordWrap/>
        <w:overflowPunct/>
        <w:topLinePunct w:val="0"/>
        <w:autoSpaceDE/>
        <w:autoSpaceDN/>
        <w:bidi w:val="0"/>
        <w:adjustRightInd/>
        <w:snapToGrid/>
        <w:spacing w:line="480" w:lineRule="exact"/>
        <w:ind w:right="0" w:rightChars="0"/>
        <w:jc w:val="left"/>
        <w:textAlignment w:val="auto"/>
        <w:outlineLvl w:val="9"/>
        <w:rPr>
          <w:rFonts w:hint="eastAsia" w:ascii="宋体" w:hAnsi="宋体"/>
          <w:b/>
          <w:bCs/>
          <w:color w:val="auto"/>
          <w:sz w:val="30"/>
          <w:szCs w:val="30"/>
          <w:lang w:val="zh-CN" w:eastAsia="zh-CN" w:bidi="ar-SA"/>
        </w:rPr>
      </w:pPr>
      <w:r>
        <w:rPr>
          <w:rFonts w:hint="eastAsia" w:ascii="宋体" w:hAnsi="宋体"/>
          <w:b/>
          <w:bCs/>
          <w:color w:val="auto"/>
          <w:sz w:val="30"/>
          <w:szCs w:val="30"/>
          <w:lang w:val="zh-CN" w:eastAsia="zh-CN" w:bidi="ar-SA"/>
        </w:rPr>
        <w:t>一、项目概况</w:t>
      </w:r>
    </w:p>
    <w:p>
      <w:pPr>
        <w:keepNext w:val="0"/>
        <w:keepLines w:val="0"/>
        <w:pageBreakBefore w:val="0"/>
        <w:widowControl/>
        <w:kinsoku/>
        <w:wordWrap/>
        <w:overflowPunct/>
        <w:topLinePunct w:val="0"/>
        <w:autoSpaceDE/>
        <w:autoSpaceDN/>
        <w:bidi w:val="0"/>
        <w:adjustRightInd/>
        <w:snapToGrid/>
        <w:spacing w:line="480" w:lineRule="exact"/>
        <w:ind w:right="0" w:rightChars="0"/>
        <w:jc w:val="left"/>
        <w:textAlignment w:val="auto"/>
        <w:outlineLvl w:val="9"/>
        <w:rPr>
          <w:rFonts w:hint="eastAsia" w:ascii="宋体" w:hAnsi="宋体"/>
          <w:color w:val="auto"/>
          <w:sz w:val="24"/>
          <w:szCs w:val="24"/>
        </w:rPr>
      </w:pPr>
      <w:r>
        <w:rPr>
          <w:rFonts w:hint="eastAsia" w:ascii="宋体" w:hAnsi="宋体"/>
          <w:color w:val="auto"/>
          <w:sz w:val="24"/>
          <w:szCs w:val="24"/>
        </w:rPr>
        <w:t>1、项目名称：</w:t>
      </w:r>
      <w:r>
        <w:rPr>
          <w:rFonts w:hint="eastAsia" w:ascii="宋体" w:hAnsi="宋体"/>
          <w:color w:val="auto"/>
          <w:sz w:val="24"/>
          <w:szCs w:val="24"/>
          <w:lang w:eastAsia="zh-CN"/>
        </w:rPr>
        <w:t>郁南县财政局工程造价咨询定点服务项目</w:t>
      </w:r>
    </w:p>
    <w:p>
      <w:pPr>
        <w:spacing w:line="480" w:lineRule="exact"/>
        <w:ind w:left="16" w:leftChars="0" w:hanging="16" w:hangingChars="7"/>
        <w:rPr>
          <w:rFonts w:hint="eastAsia" w:ascii="宋体" w:hAnsi="宋体"/>
          <w:bCs/>
          <w:color w:val="auto"/>
          <w:sz w:val="24"/>
          <w:szCs w:val="24"/>
        </w:rPr>
      </w:pPr>
      <w:r>
        <w:rPr>
          <w:rFonts w:hint="eastAsia" w:ascii="宋体" w:hAnsi="宋体"/>
          <w:color w:val="auto"/>
          <w:sz w:val="24"/>
          <w:szCs w:val="24"/>
        </w:rPr>
        <w:t>2、</w:t>
      </w:r>
      <w:r>
        <w:rPr>
          <w:rFonts w:hint="eastAsia" w:ascii="宋体" w:hAnsi="宋体"/>
          <w:bCs/>
          <w:color w:val="auto"/>
          <w:sz w:val="24"/>
          <w:szCs w:val="24"/>
        </w:rPr>
        <w:t>本项目的中标人受理委托报酬计费：</w:t>
      </w:r>
    </w:p>
    <w:p>
      <w:pPr>
        <w:spacing w:line="480" w:lineRule="exact"/>
        <w:ind w:left="16" w:leftChars="0" w:hanging="16" w:hangingChars="7"/>
        <w:rPr>
          <w:rFonts w:hint="eastAsia" w:ascii="宋体" w:hAnsi="宋体"/>
          <w:bCs/>
          <w:color w:val="auto"/>
          <w:sz w:val="24"/>
          <w:szCs w:val="24"/>
          <w:lang w:eastAsia="zh-CN"/>
        </w:rPr>
      </w:pPr>
      <w:r>
        <w:rPr>
          <w:rFonts w:hint="eastAsia" w:ascii="宋体" w:hAnsi="宋体"/>
          <w:bCs/>
          <w:color w:val="auto"/>
          <w:sz w:val="24"/>
          <w:szCs w:val="24"/>
          <w:lang w:val="en-US" w:eastAsia="zh-CN"/>
        </w:rPr>
        <w:t>2.1、收费标准按《广东省建设工程造价咨询服务收费标准》的80%</w:t>
      </w:r>
      <w:r>
        <w:rPr>
          <w:rFonts w:hint="eastAsia" w:ascii="宋体" w:hAnsi="宋体"/>
          <w:bCs/>
          <w:color w:val="auto"/>
          <w:sz w:val="24"/>
          <w:szCs w:val="24"/>
          <w:lang w:eastAsia="zh-CN"/>
        </w:rPr>
        <w:t>（公路工程除外）；</w:t>
      </w:r>
    </w:p>
    <w:p>
      <w:pPr>
        <w:spacing w:line="480" w:lineRule="exact"/>
        <w:ind w:left="16" w:leftChars="0" w:hanging="16" w:hangingChars="7"/>
        <w:rPr>
          <w:rFonts w:hint="eastAsia" w:ascii="宋体" w:hAnsi="宋体"/>
          <w:bCs/>
          <w:color w:val="auto"/>
          <w:sz w:val="24"/>
          <w:szCs w:val="24"/>
          <w:lang w:eastAsia="zh-CN"/>
        </w:rPr>
      </w:pPr>
      <w:r>
        <w:rPr>
          <w:rFonts w:hint="eastAsia" w:ascii="宋体" w:hAnsi="宋体"/>
          <w:bCs/>
          <w:color w:val="auto"/>
          <w:sz w:val="24"/>
          <w:szCs w:val="24"/>
          <w:lang w:val="en-US" w:eastAsia="zh-CN"/>
        </w:rPr>
        <w:t>2.2、公路工程收费标准按《广东省建设工程造价咨询服务收费标准》的80%；</w:t>
      </w:r>
    </w:p>
    <w:p>
      <w:pPr>
        <w:spacing w:line="480" w:lineRule="exact"/>
        <w:ind w:left="16" w:leftChars="0" w:hanging="16" w:hangingChars="7"/>
        <w:rPr>
          <w:rFonts w:hint="eastAsia" w:ascii="宋体" w:hAnsi="宋体"/>
          <w:color w:val="auto"/>
          <w:sz w:val="24"/>
          <w:szCs w:val="24"/>
        </w:rPr>
      </w:pPr>
      <w:r>
        <w:rPr>
          <w:rFonts w:hint="eastAsia" w:ascii="宋体" w:hAnsi="宋体"/>
          <w:bCs/>
          <w:color w:val="auto"/>
          <w:sz w:val="24"/>
          <w:szCs w:val="24"/>
          <w:lang w:val="en-US" w:eastAsia="zh-CN"/>
        </w:rPr>
        <w:t>2.3、建筑工程</w:t>
      </w:r>
      <w:r>
        <w:rPr>
          <w:rFonts w:hint="eastAsia" w:ascii="宋体" w:hAnsi="宋体"/>
          <w:bCs/>
          <w:color w:val="auto"/>
          <w:sz w:val="24"/>
          <w:szCs w:val="24"/>
          <w:lang w:eastAsia="zh-CN"/>
        </w:rPr>
        <w:t>竣工财务决算、结算复审的收费标准按附件三</w:t>
      </w:r>
      <w:r>
        <w:rPr>
          <w:rFonts w:hint="eastAsia" w:ascii="宋体" w:hAnsi="宋体"/>
          <w:bCs/>
          <w:color w:val="auto"/>
          <w:sz w:val="24"/>
          <w:szCs w:val="24"/>
        </w:rPr>
        <w:t>。</w:t>
      </w:r>
    </w:p>
    <w:p>
      <w:pPr>
        <w:keepNext w:val="0"/>
        <w:keepLines w:val="0"/>
        <w:pageBreakBefore w:val="0"/>
        <w:widowControl/>
        <w:kinsoku/>
        <w:wordWrap/>
        <w:overflowPunct/>
        <w:topLinePunct w:val="0"/>
        <w:autoSpaceDE/>
        <w:autoSpaceDN/>
        <w:bidi w:val="0"/>
        <w:adjustRightInd/>
        <w:snapToGrid/>
        <w:spacing w:line="480" w:lineRule="exact"/>
        <w:ind w:right="0" w:rightChars="0"/>
        <w:jc w:val="left"/>
        <w:textAlignment w:val="auto"/>
        <w:outlineLvl w:val="9"/>
        <w:rPr>
          <w:rFonts w:hint="eastAsia" w:ascii="宋体" w:hAnsi="宋体"/>
          <w:color w:val="auto"/>
          <w:sz w:val="24"/>
          <w:szCs w:val="24"/>
        </w:rPr>
      </w:pPr>
      <w:r>
        <w:rPr>
          <w:rFonts w:hint="eastAsia" w:ascii="宋体" w:hAnsi="宋体"/>
          <w:color w:val="auto"/>
          <w:sz w:val="24"/>
          <w:szCs w:val="24"/>
        </w:rPr>
        <w:t>3、资格服务商数量：</w:t>
      </w:r>
      <w:r>
        <w:rPr>
          <w:rFonts w:hint="eastAsia" w:ascii="宋体" w:hAnsi="宋体"/>
          <w:color w:val="auto"/>
          <w:sz w:val="24"/>
          <w:szCs w:val="24"/>
          <w:lang w:val="en-US" w:eastAsia="zh-CN"/>
        </w:rPr>
        <w:t>3</w:t>
      </w:r>
      <w:r>
        <w:rPr>
          <w:rFonts w:hint="eastAsia" w:ascii="宋体" w:hAnsi="宋体"/>
          <w:color w:val="auto"/>
          <w:sz w:val="24"/>
          <w:szCs w:val="24"/>
        </w:rPr>
        <w:t>家。</w:t>
      </w:r>
    </w:p>
    <w:p>
      <w:pPr>
        <w:spacing w:line="480" w:lineRule="exact"/>
        <w:ind w:left="17" w:leftChars="8" w:firstLine="681" w:firstLineChars="284"/>
        <w:rPr>
          <w:rFonts w:hint="eastAsia" w:ascii="宋体" w:hAnsi="宋体"/>
          <w:bCs/>
          <w:color w:val="auto"/>
          <w:sz w:val="24"/>
          <w:szCs w:val="24"/>
          <w:lang w:val="en-US" w:eastAsia="zh-CN"/>
        </w:rPr>
      </w:pPr>
      <w:r>
        <w:rPr>
          <w:rFonts w:hint="eastAsia" w:ascii="宋体" w:hAnsi="宋体"/>
          <w:bCs/>
          <w:color w:val="auto"/>
          <w:sz w:val="24"/>
          <w:szCs w:val="24"/>
          <w:lang w:val="en-US" w:eastAsia="zh-CN"/>
        </w:rPr>
        <w:t>为加强财政投资工程概、预、结、决算审核工作的管理，提高审核质量和效率，采购人按上级财政部门和县政府有关文件的要求，结合采购人的工作实际，按公开、公平、公正的原则，对郁南县财政性投资项目工程造价咨询机构资格进行招标，择优确定高素质、高质量和高效率的工程造价咨询机构，更好地做好采购人的财政投资审核工作。</w:t>
      </w:r>
    </w:p>
    <w:p>
      <w:pPr>
        <w:pStyle w:val="3"/>
        <w:numPr>
          <w:ilvl w:val="0"/>
          <w:numId w:val="0"/>
        </w:numPr>
        <w:tabs>
          <w:tab w:val="left" w:pos="630"/>
          <w:tab w:val="clear" w:pos="239"/>
        </w:tabs>
        <w:spacing w:before="100" w:beforeAutospacing="1" w:after="100" w:afterAutospacing="1"/>
        <w:ind w:left="17" w:leftChars="0" w:hanging="17" w:hangingChars="6"/>
        <w:jc w:val="both"/>
        <w:rPr>
          <w:rFonts w:hint="eastAsia" w:ascii="宋体" w:hAnsi="宋体"/>
          <w:b/>
          <w:color w:val="auto"/>
          <w:sz w:val="30"/>
          <w:szCs w:val="30"/>
          <w:lang w:val="zh-CN"/>
        </w:rPr>
      </w:pPr>
      <w:bookmarkStart w:id="8" w:name="_Toc354388281"/>
      <w:r>
        <w:rPr>
          <w:rFonts w:hint="eastAsia"/>
          <w:color w:val="auto"/>
          <w:sz w:val="28"/>
          <w:szCs w:val="28"/>
          <w:lang w:eastAsia="zh-CN"/>
        </w:rPr>
        <w:t>二、</w:t>
      </w:r>
      <w:bookmarkEnd w:id="8"/>
      <w:r>
        <w:rPr>
          <w:rFonts w:hint="eastAsia" w:ascii="宋体" w:hAnsi="宋体"/>
          <w:b/>
          <w:color w:val="auto"/>
          <w:sz w:val="30"/>
          <w:szCs w:val="30"/>
          <w:lang w:val="zh-CN"/>
        </w:rPr>
        <w:t>采购项目技术规格、参数及要求</w:t>
      </w:r>
    </w:p>
    <w:p>
      <w:pPr>
        <w:pStyle w:val="60"/>
        <w:spacing w:line="360" w:lineRule="auto"/>
        <w:rPr>
          <w:rFonts w:hint="eastAsia" w:ascii="宋体" w:hAnsi="宋体"/>
          <w:b/>
          <w:color w:val="auto"/>
          <w:sz w:val="24"/>
        </w:rPr>
      </w:pPr>
      <w:r>
        <w:rPr>
          <w:rFonts w:hint="eastAsia" w:ascii="宋体" w:hAnsi="宋体"/>
          <w:b/>
          <w:color w:val="auto"/>
          <w:sz w:val="24"/>
        </w:rPr>
        <w:t>2.1服务内容</w:t>
      </w:r>
    </w:p>
    <w:p>
      <w:pPr>
        <w:pStyle w:val="60"/>
        <w:spacing w:line="360" w:lineRule="auto"/>
        <w:rPr>
          <w:rFonts w:hint="eastAsia" w:ascii="宋体" w:hAnsi="宋体"/>
          <w:color w:val="auto"/>
          <w:sz w:val="24"/>
        </w:rPr>
      </w:pPr>
      <w:r>
        <w:rPr>
          <w:rFonts w:hint="eastAsia" w:ascii="宋体" w:hAnsi="宋体"/>
          <w:color w:val="auto"/>
          <w:sz w:val="24"/>
        </w:rPr>
        <w:t>根据采购人的任务分派，参与</w:t>
      </w:r>
      <w:r>
        <w:rPr>
          <w:rFonts w:hint="eastAsia" w:ascii="宋体" w:hAnsi="宋体"/>
          <w:color w:val="auto"/>
          <w:sz w:val="24"/>
          <w:lang w:eastAsia="zh-CN"/>
        </w:rPr>
        <w:t>郁南县</w:t>
      </w:r>
      <w:r>
        <w:rPr>
          <w:rFonts w:hint="eastAsia" w:ascii="宋体" w:hAnsi="宋体"/>
          <w:color w:val="auto"/>
          <w:sz w:val="24"/>
        </w:rPr>
        <w:t>财政性资金投资工程项目估算、概算、预算、最高限价、工程变更、结算的委托审核。</w:t>
      </w:r>
    </w:p>
    <w:p>
      <w:pPr>
        <w:pStyle w:val="60"/>
        <w:spacing w:line="360" w:lineRule="auto"/>
        <w:rPr>
          <w:rFonts w:hint="eastAsia" w:ascii="宋体" w:hAnsi="宋体"/>
          <w:color w:val="auto"/>
          <w:sz w:val="24"/>
        </w:rPr>
      </w:pPr>
      <w:r>
        <w:rPr>
          <w:rFonts w:hint="eastAsia" w:ascii="宋体" w:hAnsi="宋体"/>
          <w:b/>
          <w:color w:val="auto"/>
          <w:sz w:val="24"/>
        </w:rPr>
        <w:t>2.2工程规模</w:t>
      </w:r>
    </w:p>
    <w:p>
      <w:pPr>
        <w:pStyle w:val="60"/>
        <w:spacing w:line="360" w:lineRule="auto"/>
        <w:rPr>
          <w:rFonts w:hint="eastAsia" w:ascii="宋体" w:hAnsi="宋体"/>
          <w:color w:val="auto"/>
          <w:sz w:val="24"/>
        </w:rPr>
      </w:pPr>
      <w:r>
        <w:rPr>
          <w:rFonts w:hint="eastAsia" w:ascii="宋体" w:hAnsi="宋体"/>
          <w:color w:val="auto"/>
          <w:sz w:val="24"/>
          <w:lang w:eastAsia="zh-CN"/>
        </w:rPr>
        <w:t>郁南县</w:t>
      </w:r>
      <w:r>
        <w:rPr>
          <w:rFonts w:hint="eastAsia" w:ascii="宋体" w:hAnsi="宋体"/>
          <w:color w:val="auto"/>
          <w:sz w:val="24"/>
        </w:rPr>
        <w:t>财政性资金投资工程项目，政府性融资安排的基本建设项目，需进行专项核查及追踪问效的建设资金或专项资金。</w:t>
      </w:r>
    </w:p>
    <w:p>
      <w:pPr>
        <w:pStyle w:val="60"/>
        <w:spacing w:line="360" w:lineRule="auto"/>
        <w:rPr>
          <w:rFonts w:hint="eastAsia" w:ascii="宋体" w:hAnsi="宋体"/>
          <w:b/>
          <w:color w:val="auto"/>
          <w:sz w:val="24"/>
        </w:rPr>
      </w:pPr>
      <w:r>
        <w:rPr>
          <w:rFonts w:hint="eastAsia" w:ascii="宋体" w:hAnsi="宋体"/>
          <w:b/>
          <w:color w:val="auto"/>
          <w:sz w:val="24"/>
        </w:rPr>
        <w:t>2.3人员/设备要求</w:t>
      </w:r>
    </w:p>
    <w:p>
      <w:pPr>
        <w:pStyle w:val="60"/>
        <w:spacing w:line="360" w:lineRule="auto"/>
        <w:rPr>
          <w:rFonts w:hint="eastAsia" w:ascii="宋体" w:hAnsi="宋体"/>
          <w:color w:val="auto"/>
          <w:sz w:val="24"/>
        </w:rPr>
      </w:pPr>
      <w:r>
        <w:rPr>
          <w:rFonts w:hint="eastAsia" w:ascii="宋体" w:hAnsi="宋体"/>
          <w:color w:val="auto"/>
          <w:sz w:val="24"/>
        </w:rPr>
        <w:t>(一)</w:t>
      </w:r>
      <w:r>
        <w:rPr>
          <w:rFonts w:hint="eastAsia" w:ascii="宋体" w:hAnsi="宋体"/>
          <w:color w:val="auto"/>
          <w:sz w:val="24"/>
          <w:lang w:val="hr-HR"/>
        </w:rPr>
        <w:t>供应商</w:t>
      </w:r>
      <w:r>
        <w:rPr>
          <w:rFonts w:hint="eastAsia" w:ascii="宋体" w:hAnsi="宋体"/>
          <w:color w:val="auto"/>
          <w:sz w:val="24"/>
        </w:rPr>
        <w:t>具备足够的人力、物力等资源，保证按时按质按量完成以下类别委托的审核业务。</w:t>
      </w:r>
    </w:p>
    <w:p>
      <w:pPr>
        <w:pStyle w:val="61"/>
        <w:spacing w:line="360" w:lineRule="auto"/>
        <w:rPr>
          <w:rFonts w:hint="eastAsia" w:ascii="宋体" w:hAnsi="宋体" w:eastAsia="宋体" w:cs="宋体"/>
          <w:color w:val="auto"/>
          <w:sz w:val="24"/>
        </w:rPr>
      </w:pPr>
      <w:r>
        <w:rPr>
          <w:rFonts w:hint="eastAsia" w:ascii="宋体" w:hAnsi="宋体" w:eastAsia="宋体" w:cs="宋体"/>
          <w:color w:val="auto"/>
          <w:sz w:val="24"/>
        </w:rPr>
        <w:t>1. 拟派评审人员名单由公司负责人、管理人员、审核人员和复核人员（相关专业专家）组成，其中拟派的管理人员应具备丰富的工程审核管理经验，拟派的专业技术人员应具备较强的工程审核能力和财政评审经验，以满足委托人对城建、交通、公路、水利水电、电力、土建、市政公用、装饰、安装、园林绿化专业工程估算、概算、最高限价、工程变更、结算审核工作的需要。</w:t>
      </w:r>
    </w:p>
    <w:p>
      <w:pPr>
        <w:pStyle w:val="61"/>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2. </w:t>
      </w:r>
      <w:r>
        <w:rPr>
          <w:rFonts w:hint="eastAsia" w:ascii="宋体" w:hAnsi="宋体" w:eastAsia="宋体" w:cs="宋体"/>
          <w:color w:val="auto"/>
          <w:sz w:val="24"/>
          <w:lang w:val="hr-HR"/>
        </w:rPr>
        <w:t>供应商</w:t>
      </w:r>
      <w:r>
        <w:rPr>
          <w:rFonts w:hint="eastAsia" w:ascii="宋体" w:hAnsi="宋体" w:eastAsia="宋体" w:cs="宋体"/>
          <w:color w:val="auto"/>
          <w:sz w:val="24"/>
        </w:rPr>
        <w:t>必须在投标文件中列明拟派评审人员详细情况，内容包括：评审人员姓名、年龄、专业、执业（专业）资格证号、职称。</w:t>
      </w:r>
      <w:r>
        <w:rPr>
          <w:rFonts w:hint="eastAsia" w:ascii="宋体" w:hAnsi="宋体" w:eastAsia="宋体" w:cs="宋体"/>
          <w:color w:val="auto"/>
          <w:sz w:val="24"/>
          <w:lang w:val="hr-HR"/>
        </w:rPr>
        <w:t>供应商</w:t>
      </w:r>
      <w:r>
        <w:rPr>
          <w:rFonts w:hint="eastAsia" w:ascii="宋体" w:hAnsi="宋体" w:eastAsia="宋体" w:cs="宋体"/>
          <w:color w:val="auto"/>
          <w:sz w:val="24"/>
        </w:rPr>
        <w:t>必须按照投标文件承诺选派人员。如需变更拟派评审人员，须报经</w:t>
      </w:r>
      <w:r>
        <w:rPr>
          <w:rFonts w:hint="eastAsia" w:ascii="宋体" w:hAnsi="宋体"/>
          <w:color w:val="auto"/>
          <w:sz w:val="24"/>
          <w:lang w:eastAsia="zh-CN"/>
        </w:rPr>
        <w:t>郁南县</w:t>
      </w:r>
      <w:r>
        <w:rPr>
          <w:rFonts w:hint="eastAsia" w:ascii="宋体" w:hAnsi="宋体" w:eastAsia="宋体" w:cs="宋体"/>
          <w:color w:val="auto"/>
          <w:sz w:val="24"/>
        </w:rPr>
        <w:t>财政局投资审核中心同意。</w:t>
      </w:r>
    </w:p>
    <w:p>
      <w:pPr>
        <w:pStyle w:val="61"/>
        <w:spacing w:line="360" w:lineRule="auto"/>
        <w:rPr>
          <w:rFonts w:hint="eastAsia" w:ascii="宋体" w:hAnsi="宋体" w:eastAsia="宋体" w:cs="宋体"/>
          <w:color w:val="auto"/>
          <w:sz w:val="24"/>
        </w:rPr>
      </w:pPr>
      <w:r>
        <w:rPr>
          <w:rFonts w:hint="eastAsia" w:ascii="宋体" w:hAnsi="宋体" w:eastAsia="宋体" w:cs="宋体"/>
          <w:color w:val="auto"/>
          <w:sz w:val="24"/>
        </w:rPr>
        <w:t>3. 拟派评审人员必须在其执业资格内执业。</w:t>
      </w:r>
    </w:p>
    <w:p>
      <w:pPr>
        <w:pStyle w:val="61"/>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4. </w:t>
      </w:r>
      <w:r>
        <w:rPr>
          <w:rFonts w:hint="eastAsia" w:ascii="宋体" w:hAnsi="宋体" w:eastAsia="宋体" w:cs="宋体"/>
          <w:color w:val="auto"/>
          <w:sz w:val="24"/>
          <w:lang w:eastAsia="zh-CN"/>
        </w:rPr>
        <w:t>报价人</w:t>
      </w:r>
      <w:r>
        <w:rPr>
          <w:rFonts w:hint="eastAsia" w:ascii="宋体" w:hAnsi="宋体" w:eastAsia="宋体" w:cs="宋体"/>
          <w:color w:val="auto"/>
          <w:sz w:val="24"/>
        </w:rPr>
        <w:t>必须具有保证满足业务需要的交通工具、现代办公设备和造价评审管理。</w:t>
      </w:r>
    </w:p>
    <w:p>
      <w:pPr>
        <w:pStyle w:val="61"/>
        <w:spacing w:line="360" w:lineRule="auto"/>
        <w:rPr>
          <w:rFonts w:hint="eastAsia" w:ascii="宋体" w:hAnsi="宋体" w:eastAsia="宋体" w:cs="宋体"/>
          <w:color w:val="auto"/>
          <w:sz w:val="24"/>
        </w:rPr>
      </w:pPr>
      <w:r>
        <w:rPr>
          <w:rFonts w:hint="eastAsia" w:ascii="宋体" w:hAnsi="宋体" w:eastAsia="宋体" w:cs="宋体"/>
          <w:color w:val="auto"/>
          <w:sz w:val="24"/>
        </w:rPr>
        <w:t>（二）单位负责人为同一人或者存在直接控股、管理关系的不同供应商，不得同时参加本项目投标，否则，均作无效投标处理。</w:t>
      </w:r>
    </w:p>
    <w:p>
      <w:pPr>
        <w:pStyle w:val="62"/>
        <w:spacing w:line="360" w:lineRule="auto"/>
        <w:rPr>
          <w:rFonts w:hint="eastAsia" w:ascii="宋体" w:hAnsi="宋体" w:eastAsia="宋体" w:cs="宋体"/>
          <w:color w:val="auto"/>
          <w:sz w:val="24"/>
        </w:rPr>
      </w:pPr>
      <w:r>
        <w:rPr>
          <w:rFonts w:hint="eastAsia" w:ascii="宋体" w:hAnsi="宋体" w:eastAsia="宋体" w:cs="宋体"/>
          <w:color w:val="auto"/>
          <w:sz w:val="24"/>
        </w:rPr>
        <w:t>（三）对基建工程评审的各个专业领域都比较熟悉。除熟悉一般土建、市政、装饰、安装和园林绿化工程外，对城建、交通、公路、水利等专业工程也都具备审核能力和经验，并具备相关专业的工程师和专家。</w:t>
      </w:r>
    </w:p>
    <w:p>
      <w:pPr>
        <w:pStyle w:val="62"/>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 （四）供应商有针对本次招标而制定的服务计划及承诺。</w:t>
      </w:r>
    </w:p>
    <w:p>
      <w:pPr>
        <w:pStyle w:val="62"/>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 （五）中标供应商必须独立完成采购人委托的评审任务，不得将评审业务转让给第三方完成，并能按采购人的要求定期做好已完成项目的相关资料的移交和归档工作。</w:t>
      </w:r>
    </w:p>
    <w:p>
      <w:pPr>
        <w:pStyle w:val="62"/>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 （六）中标供应商必须严格遵守采购人提出的各项规章制度和廉政纪律要求。</w:t>
      </w:r>
    </w:p>
    <w:p>
      <w:pPr>
        <w:pStyle w:val="62"/>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 （七）非经采购人同意，不得就本委托业务直接与建设、施工等单位联系。不能直接向建设单位索取资料，所取得的资料必须经过采购人确认，才能作为工程评审的依据。</w:t>
      </w:r>
    </w:p>
    <w:p>
      <w:pPr>
        <w:pStyle w:val="60"/>
        <w:spacing w:line="360" w:lineRule="auto"/>
        <w:rPr>
          <w:rFonts w:hint="eastAsia" w:ascii="宋体" w:hAnsi="宋体" w:eastAsia="宋体" w:cs="宋体"/>
          <w:b/>
          <w:color w:val="auto"/>
          <w:sz w:val="24"/>
        </w:rPr>
      </w:pPr>
      <w:r>
        <w:rPr>
          <w:rFonts w:hint="eastAsia" w:ascii="宋体" w:hAnsi="宋体" w:eastAsia="宋体" w:cs="宋体"/>
          <w:b/>
          <w:color w:val="auto"/>
          <w:sz w:val="24"/>
        </w:rPr>
        <w:t>2.4政策理解及经验</w:t>
      </w:r>
    </w:p>
    <w:p>
      <w:pPr>
        <w:pStyle w:val="60"/>
        <w:spacing w:line="360" w:lineRule="auto"/>
        <w:rPr>
          <w:rFonts w:hint="eastAsia" w:ascii="宋体" w:hAnsi="宋体" w:eastAsia="宋体" w:cs="宋体"/>
          <w:color w:val="auto"/>
          <w:sz w:val="24"/>
        </w:rPr>
      </w:pPr>
      <w:r>
        <w:rPr>
          <w:rFonts w:hint="eastAsia" w:ascii="宋体" w:hAnsi="宋体" w:eastAsia="宋体" w:cs="宋体"/>
          <w:color w:val="auto"/>
          <w:sz w:val="24"/>
          <w:lang w:val="hr-HR"/>
        </w:rPr>
        <w:t>供应商</w:t>
      </w:r>
      <w:r>
        <w:rPr>
          <w:rFonts w:hint="eastAsia" w:ascii="宋体" w:hAnsi="宋体" w:eastAsia="宋体" w:cs="宋体"/>
          <w:color w:val="auto"/>
          <w:sz w:val="24"/>
        </w:rPr>
        <w:t>应对国家、省、市财政部关于财政性资金基本建设投资管理方面的有关政策、法规和知识具有深刻的理解，并列举相关财政投资（或其他大型项目）工程咨询服务工作实绩及经验总结。</w:t>
      </w:r>
    </w:p>
    <w:p>
      <w:pPr>
        <w:pStyle w:val="60"/>
        <w:spacing w:line="360" w:lineRule="auto"/>
        <w:rPr>
          <w:rFonts w:hint="eastAsia" w:ascii="宋体" w:hAnsi="宋体" w:eastAsia="宋体" w:cs="宋体"/>
          <w:b/>
          <w:color w:val="auto"/>
          <w:sz w:val="24"/>
        </w:rPr>
      </w:pPr>
      <w:r>
        <w:rPr>
          <w:rFonts w:hint="eastAsia" w:ascii="宋体" w:hAnsi="宋体" w:eastAsia="宋体" w:cs="宋体"/>
          <w:b/>
          <w:color w:val="auto"/>
          <w:sz w:val="24"/>
        </w:rPr>
        <w:t>2.5组织架构</w:t>
      </w:r>
    </w:p>
    <w:p>
      <w:pPr>
        <w:pStyle w:val="60"/>
        <w:spacing w:line="360" w:lineRule="auto"/>
        <w:rPr>
          <w:rFonts w:hint="eastAsia" w:ascii="宋体" w:hAnsi="宋体" w:eastAsia="宋体" w:cs="宋体"/>
          <w:color w:val="auto"/>
          <w:sz w:val="24"/>
        </w:rPr>
      </w:pPr>
      <w:r>
        <w:rPr>
          <w:rFonts w:hint="eastAsia" w:ascii="宋体" w:hAnsi="宋体" w:eastAsia="宋体" w:cs="宋体"/>
          <w:color w:val="auto"/>
          <w:sz w:val="24"/>
          <w:lang w:val="hr-HR"/>
        </w:rPr>
        <w:t>供应商</w:t>
      </w:r>
      <w:r>
        <w:rPr>
          <w:rFonts w:hint="eastAsia" w:ascii="宋体" w:hAnsi="宋体" w:eastAsia="宋体" w:cs="宋体"/>
          <w:color w:val="auto"/>
          <w:sz w:val="24"/>
        </w:rPr>
        <w:t>应具有完善的内部组织机构、内部管理制度、质量保证体系和技术经济档案管理制度。</w:t>
      </w:r>
      <w:bookmarkStart w:id="9" w:name="_Toc354387379"/>
    </w:p>
    <w:p>
      <w:pPr>
        <w:pStyle w:val="60"/>
        <w:spacing w:line="360" w:lineRule="auto"/>
        <w:rPr>
          <w:rFonts w:hint="eastAsia" w:ascii="宋体" w:hAnsi="宋体" w:eastAsia="宋体" w:cs="宋体"/>
          <w:b/>
          <w:bCs/>
          <w:color w:val="auto"/>
          <w:sz w:val="24"/>
        </w:rPr>
      </w:pPr>
      <w:r>
        <w:rPr>
          <w:rFonts w:hint="eastAsia" w:ascii="宋体" w:hAnsi="宋体" w:eastAsia="宋体" w:cs="宋体"/>
          <w:b/>
          <w:bCs/>
          <w:color w:val="auto"/>
          <w:sz w:val="24"/>
        </w:rPr>
        <w:t xml:space="preserve">2.6 </w:t>
      </w:r>
      <w:bookmarkEnd w:id="9"/>
      <w:r>
        <w:rPr>
          <w:rFonts w:hint="eastAsia" w:ascii="宋体" w:hAnsi="宋体" w:eastAsia="宋体" w:cs="宋体"/>
          <w:b/>
          <w:bCs/>
          <w:color w:val="auto"/>
          <w:sz w:val="24"/>
        </w:rPr>
        <w:t>推荐供应商</w:t>
      </w:r>
    </w:p>
    <w:p>
      <w:pPr>
        <w:pStyle w:val="63"/>
        <w:spacing w:line="360" w:lineRule="auto"/>
        <w:rPr>
          <w:rFonts w:hint="eastAsia" w:ascii="宋体" w:hAnsi="宋体" w:eastAsia="宋体" w:cs="宋体"/>
          <w:color w:val="auto"/>
          <w:sz w:val="24"/>
        </w:rPr>
      </w:pPr>
      <w:bookmarkStart w:id="10" w:name="_Toc354387380"/>
      <w:r>
        <w:rPr>
          <w:rFonts w:hint="eastAsia" w:ascii="宋体" w:hAnsi="宋体" w:eastAsia="宋体" w:cs="宋体"/>
          <w:color w:val="auto"/>
          <w:sz w:val="24"/>
        </w:rPr>
        <w:t>① 采购人无法预计和保证供应商在服务期间所能获取的工作量，并且无法估计服务期间的工程规模和资金到位情况。供应商应充分考虑经营风险，并尽可能提供优惠的价格和优质的服务，以提高自身的竞争力。</w:t>
      </w:r>
    </w:p>
    <w:p>
      <w:pPr>
        <w:pStyle w:val="63"/>
        <w:spacing w:line="360" w:lineRule="auto"/>
        <w:rPr>
          <w:rFonts w:hint="eastAsia" w:ascii="宋体" w:hAnsi="宋体" w:eastAsia="宋体" w:cs="宋体"/>
          <w:color w:val="auto"/>
          <w:sz w:val="24"/>
        </w:rPr>
      </w:pPr>
      <w:r>
        <w:rPr>
          <w:rFonts w:hint="eastAsia" w:ascii="宋体" w:hAnsi="宋体" w:eastAsia="宋体" w:cs="宋体"/>
          <w:color w:val="auto"/>
          <w:sz w:val="24"/>
        </w:rPr>
        <w:t>② 本项目供应商按综合评分得分从高至低排名推荐3名资质供应商作为定点服务供应商。定点服务供应商与</w:t>
      </w:r>
      <w:r>
        <w:rPr>
          <w:rFonts w:hint="eastAsia" w:ascii="宋体" w:hAnsi="宋体"/>
          <w:color w:val="auto"/>
          <w:sz w:val="24"/>
          <w:lang w:eastAsia="zh-CN"/>
        </w:rPr>
        <w:t>郁南县</w:t>
      </w:r>
      <w:r>
        <w:rPr>
          <w:rFonts w:hint="eastAsia" w:ascii="宋体" w:hAnsi="宋体" w:eastAsia="宋体" w:cs="宋体"/>
          <w:color w:val="auto"/>
          <w:sz w:val="24"/>
        </w:rPr>
        <w:t>财政局签订《</w:t>
      </w:r>
      <w:r>
        <w:rPr>
          <w:rFonts w:hint="eastAsia" w:ascii="宋体" w:hAnsi="宋体"/>
          <w:color w:val="auto"/>
          <w:sz w:val="24"/>
          <w:lang w:eastAsia="zh-CN"/>
        </w:rPr>
        <w:t>郁南县</w:t>
      </w:r>
      <w:r>
        <w:rPr>
          <w:rFonts w:hint="eastAsia" w:ascii="宋体" w:hAnsi="宋体" w:eastAsia="宋体" w:cs="宋体"/>
          <w:color w:val="auto"/>
          <w:sz w:val="24"/>
        </w:rPr>
        <w:t>财政局工程造价咨询定点服务合同》，按合同样本约定的要求接受委托任务。</w:t>
      </w:r>
    </w:p>
    <w:p>
      <w:pPr>
        <w:pStyle w:val="63"/>
        <w:spacing w:line="360" w:lineRule="auto"/>
        <w:rPr>
          <w:rFonts w:hint="eastAsia" w:ascii="宋体" w:hAnsi="宋体" w:eastAsia="宋体" w:cs="宋体"/>
          <w:color w:val="auto"/>
          <w:sz w:val="24"/>
        </w:rPr>
      </w:pPr>
      <w:r>
        <w:rPr>
          <w:rFonts w:hint="eastAsia" w:ascii="宋体" w:hAnsi="宋体" w:eastAsia="宋体" w:cs="宋体"/>
          <w:color w:val="auto"/>
          <w:sz w:val="24"/>
        </w:rPr>
        <w:t>③ 在本项目约定的服务期间内，参考“</w:t>
      </w:r>
      <w:r>
        <w:rPr>
          <w:rFonts w:hint="eastAsia" w:ascii="宋体" w:hAnsi="宋体"/>
          <w:color w:val="auto"/>
          <w:sz w:val="24"/>
          <w:lang w:eastAsia="zh-CN"/>
        </w:rPr>
        <w:t>郁南县</w:t>
      </w:r>
      <w:r>
        <w:rPr>
          <w:rFonts w:hint="eastAsia" w:ascii="宋体" w:hAnsi="宋体" w:eastAsia="宋体" w:cs="宋体"/>
          <w:color w:val="auto"/>
          <w:sz w:val="24"/>
        </w:rPr>
        <w:t>财政局工程造价咨询项目分配办法、考核办法及奖罚办法”。</w:t>
      </w:r>
    </w:p>
    <w:p>
      <w:pPr>
        <w:pStyle w:val="64"/>
        <w:spacing w:line="360" w:lineRule="auto"/>
        <w:rPr>
          <w:rFonts w:hint="eastAsia" w:ascii="宋体" w:hAnsi="宋体" w:eastAsia="宋体" w:cs="宋体"/>
          <w:b/>
          <w:bCs/>
          <w:color w:val="auto"/>
          <w:sz w:val="24"/>
        </w:rPr>
      </w:pPr>
      <w:r>
        <w:rPr>
          <w:rFonts w:hint="eastAsia" w:ascii="宋体" w:hAnsi="宋体" w:eastAsia="宋体" w:cs="宋体"/>
          <w:b/>
          <w:bCs/>
          <w:color w:val="auto"/>
          <w:sz w:val="24"/>
        </w:rPr>
        <w:t>2.7分配方法</w:t>
      </w:r>
      <w:bookmarkEnd w:id="10"/>
    </w:p>
    <w:p>
      <w:pPr>
        <w:pStyle w:val="65"/>
        <w:spacing w:line="360" w:lineRule="auto"/>
        <w:rPr>
          <w:rFonts w:hint="eastAsia" w:ascii="宋体" w:hAnsi="宋体" w:eastAsia="宋体" w:cs="宋体"/>
          <w:color w:val="auto"/>
          <w:sz w:val="24"/>
        </w:rPr>
      </w:pPr>
      <w:r>
        <w:rPr>
          <w:rFonts w:hint="eastAsia" w:ascii="宋体" w:hAnsi="宋体" w:eastAsia="宋体" w:cs="宋体"/>
          <w:color w:val="auto"/>
          <w:sz w:val="24"/>
        </w:rPr>
        <w:t>① 首次造价咨询任务分配是以定点服务供应商的中标排名顺序号作为分配号。综合评分第一名中标供应商排在1号，第二名排在2号，以此类推。</w:t>
      </w:r>
    </w:p>
    <w:p>
      <w:pPr>
        <w:pStyle w:val="65"/>
        <w:spacing w:line="360" w:lineRule="auto"/>
        <w:rPr>
          <w:rFonts w:hint="eastAsia" w:ascii="宋体" w:hAnsi="宋体" w:eastAsia="宋体" w:cs="宋体"/>
          <w:color w:val="auto"/>
          <w:sz w:val="24"/>
        </w:rPr>
      </w:pPr>
      <w:r>
        <w:rPr>
          <w:rFonts w:hint="eastAsia" w:ascii="宋体" w:hAnsi="宋体" w:eastAsia="宋体" w:cs="宋体"/>
          <w:color w:val="auto"/>
          <w:sz w:val="24"/>
        </w:rPr>
        <w:t>② 定点服务供应商与委托项目有利害关系（含该单位参与该项目工程造价的编审或与该项目相关实施单位有利害关系等）需回避的，首次项目委托任务改由下一排号顺序的定点服务供应商实施，该定点服务供应商在下次项目委托时排在第一位。</w:t>
      </w:r>
    </w:p>
    <w:p>
      <w:pPr>
        <w:pStyle w:val="65"/>
        <w:spacing w:line="360" w:lineRule="auto"/>
        <w:rPr>
          <w:rFonts w:hint="eastAsia" w:ascii="宋体" w:hAnsi="宋体" w:eastAsia="宋体" w:cs="宋体"/>
          <w:color w:val="auto"/>
          <w:sz w:val="24"/>
        </w:rPr>
      </w:pPr>
      <w:r>
        <w:rPr>
          <w:rFonts w:hint="eastAsia" w:ascii="宋体" w:hAnsi="宋体" w:eastAsia="宋体" w:cs="宋体"/>
          <w:color w:val="auto"/>
          <w:sz w:val="24"/>
        </w:rPr>
        <w:t>③ 定点服务供应商拒绝接受首次排号分配委托任务的，视同放弃本轮项目委托资格，项目委托任务改由下一排号顺序的定点供应商实施。</w:t>
      </w:r>
    </w:p>
    <w:p>
      <w:pPr>
        <w:pStyle w:val="65"/>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④ </w:t>
      </w:r>
      <w:r>
        <w:rPr>
          <w:rFonts w:hint="eastAsia" w:ascii="宋体" w:hAnsi="宋体"/>
          <w:color w:val="auto"/>
          <w:sz w:val="24"/>
          <w:lang w:eastAsia="zh-CN"/>
        </w:rPr>
        <w:t>郁南县</w:t>
      </w:r>
      <w:r>
        <w:rPr>
          <w:rFonts w:hint="eastAsia" w:ascii="宋体" w:hAnsi="宋体" w:eastAsia="宋体" w:cs="宋体"/>
          <w:color w:val="auto"/>
          <w:sz w:val="24"/>
        </w:rPr>
        <w:t>财政局工程造价咨询定点服务供应商（即咨询人）任务分配办法（首次任务分配除外）是按择优选择法。在日常工作中，</w:t>
      </w:r>
      <w:r>
        <w:rPr>
          <w:rFonts w:hint="eastAsia" w:ascii="宋体" w:hAnsi="宋体"/>
          <w:color w:val="auto"/>
          <w:sz w:val="24"/>
          <w:lang w:eastAsia="zh-CN"/>
        </w:rPr>
        <w:t>郁南县</w:t>
      </w:r>
      <w:r>
        <w:rPr>
          <w:rFonts w:hint="eastAsia" w:ascii="宋体" w:hAnsi="宋体" w:eastAsia="宋体" w:cs="宋体"/>
          <w:color w:val="auto"/>
          <w:sz w:val="24"/>
        </w:rPr>
        <w:t>财政局（即委托人）将根据工程项目评审的内容、完成时间要求、技术难度等情况进行任务分配。择优选择根据工程评审的要求，各定点服务供应商的综合能力、专业侧重、工作表现和考核评分情况等进行选择。</w:t>
      </w:r>
      <w:r>
        <w:rPr>
          <w:rFonts w:hint="eastAsia" w:ascii="宋体" w:hAnsi="宋体"/>
          <w:color w:val="auto"/>
          <w:sz w:val="24"/>
          <w:lang w:eastAsia="zh-CN"/>
        </w:rPr>
        <w:t>郁南县</w:t>
      </w:r>
      <w:r>
        <w:rPr>
          <w:rFonts w:hint="eastAsia" w:ascii="宋体" w:hAnsi="宋体" w:eastAsia="宋体" w:cs="宋体"/>
          <w:color w:val="auto"/>
          <w:sz w:val="24"/>
        </w:rPr>
        <w:t>财政局不保证各定点服务供应商具体承担的项目数量。</w:t>
      </w:r>
    </w:p>
    <w:p>
      <w:pPr>
        <w:pStyle w:val="65"/>
        <w:spacing w:line="360" w:lineRule="auto"/>
        <w:rPr>
          <w:rFonts w:hint="eastAsia" w:ascii="宋体" w:hAnsi="宋体" w:eastAsia="宋体" w:cs="宋体"/>
          <w:color w:val="auto"/>
          <w:sz w:val="24"/>
        </w:rPr>
      </w:pPr>
      <w:r>
        <w:rPr>
          <w:rFonts w:hint="eastAsia" w:ascii="宋体" w:hAnsi="宋体" w:eastAsia="宋体" w:cs="宋体"/>
          <w:color w:val="auto"/>
          <w:sz w:val="24"/>
        </w:rPr>
        <w:t>回避规则：接受项目委托的定点服务供应商与委托项目有利害关系的（含该单位参与该项目工程造价的编审或与该项目相关实施单位有利害关系等），必须主动申请回避。</w:t>
      </w:r>
    </w:p>
    <w:p>
      <w:pPr>
        <w:pStyle w:val="60"/>
        <w:spacing w:line="360" w:lineRule="auto"/>
        <w:rPr>
          <w:rFonts w:hint="eastAsia" w:ascii="宋体" w:hAnsi="宋体" w:eastAsia="宋体" w:cs="宋体"/>
          <w:b/>
          <w:bCs/>
          <w:color w:val="auto"/>
          <w:sz w:val="24"/>
        </w:rPr>
      </w:pPr>
      <w:bookmarkStart w:id="11" w:name="_Toc354387381"/>
      <w:r>
        <w:rPr>
          <w:rFonts w:hint="eastAsia" w:ascii="宋体" w:hAnsi="宋体" w:eastAsia="宋体" w:cs="宋体"/>
          <w:b/>
          <w:bCs/>
          <w:color w:val="auto"/>
          <w:sz w:val="24"/>
        </w:rPr>
        <w:t>2.8项目审核工作要求</w:t>
      </w:r>
      <w:bookmarkEnd w:id="11"/>
    </w:p>
    <w:p>
      <w:pPr>
        <w:rPr>
          <w:rFonts w:hint="eastAsia" w:ascii="宋体" w:hAnsi="宋体" w:eastAsia="宋体" w:cs="宋体"/>
          <w:b/>
          <w:bCs/>
          <w:color w:val="auto"/>
          <w:sz w:val="24"/>
        </w:rPr>
      </w:pPr>
      <w:r>
        <w:rPr>
          <w:rFonts w:hint="eastAsia" w:ascii="宋体" w:hAnsi="宋体" w:eastAsia="宋体" w:cs="宋体"/>
          <w:b/>
          <w:bCs/>
          <w:color w:val="auto"/>
          <w:sz w:val="24"/>
        </w:rPr>
        <w:t>（一）审核时限</w:t>
      </w:r>
    </w:p>
    <w:p>
      <w:pPr>
        <w:pStyle w:val="60"/>
        <w:spacing w:line="360" w:lineRule="auto"/>
        <w:rPr>
          <w:rFonts w:hint="eastAsia" w:ascii="宋体" w:hAnsi="宋体"/>
          <w:color w:val="auto"/>
          <w:sz w:val="24"/>
        </w:rPr>
      </w:pPr>
      <w:r>
        <w:rPr>
          <w:rFonts w:hint="eastAsia" w:ascii="宋体" w:hAnsi="宋体"/>
          <w:color w:val="auto"/>
          <w:sz w:val="24"/>
        </w:rPr>
        <w:t>一般情况下，县重点工程造价咨询委托审核项目按下列时限完成审核工作。具体单项工程的审核时限在专项协议中确定。</w:t>
      </w:r>
    </w:p>
    <w:p>
      <w:pPr>
        <w:pStyle w:val="60"/>
        <w:spacing w:line="360" w:lineRule="auto"/>
        <w:rPr>
          <w:rFonts w:hint="eastAsia" w:ascii="宋体" w:hAnsi="宋体"/>
          <w:color w:val="auto"/>
          <w:sz w:val="24"/>
        </w:rPr>
      </w:pPr>
      <w:r>
        <w:rPr>
          <w:rFonts w:hint="eastAsia" w:ascii="宋体" w:hAnsi="宋体"/>
          <w:color w:val="auto"/>
          <w:sz w:val="24"/>
        </w:rPr>
        <w:t>① 工程估算：6个工作日。</w:t>
      </w:r>
    </w:p>
    <w:p>
      <w:pPr>
        <w:pStyle w:val="66"/>
        <w:spacing w:line="360" w:lineRule="auto"/>
        <w:rPr>
          <w:rFonts w:hint="eastAsia" w:ascii="宋体" w:hAnsi="宋体"/>
          <w:color w:val="auto"/>
          <w:sz w:val="24"/>
        </w:rPr>
      </w:pPr>
      <w:r>
        <w:rPr>
          <w:rFonts w:hint="eastAsia" w:ascii="宋体" w:hAnsi="宋体"/>
          <w:color w:val="auto"/>
          <w:sz w:val="24"/>
        </w:rPr>
        <w:t xml:space="preserve">② 工程造价咨询服务机构必须在规定的时限内完成财政投资建设工程造价咨询服务的编审工作。编审时限参照以下标准执行：  </w:t>
      </w:r>
    </w:p>
    <w:p>
      <w:pPr>
        <w:pStyle w:val="66"/>
        <w:spacing w:line="360" w:lineRule="auto"/>
        <w:rPr>
          <w:rFonts w:hint="eastAsia" w:ascii="宋体" w:hAnsi="宋体"/>
          <w:color w:val="auto"/>
          <w:sz w:val="24"/>
        </w:rPr>
      </w:pPr>
    </w:p>
    <w:tbl>
      <w:tblPr>
        <w:tblStyle w:val="30"/>
        <w:tblW w:w="9194" w:type="dxa"/>
        <w:jc w:val="center"/>
        <w:tblInd w:w="0" w:type="dxa"/>
        <w:tblLayout w:type="fixed"/>
        <w:tblCellMar>
          <w:top w:w="0" w:type="dxa"/>
          <w:left w:w="108" w:type="dxa"/>
          <w:bottom w:w="0" w:type="dxa"/>
          <w:right w:w="108" w:type="dxa"/>
        </w:tblCellMar>
      </w:tblPr>
      <w:tblGrid>
        <w:gridCol w:w="814"/>
        <w:gridCol w:w="2598"/>
        <w:gridCol w:w="813"/>
        <w:gridCol w:w="813"/>
        <w:gridCol w:w="452"/>
        <w:gridCol w:w="236"/>
        <w:gridCol w:w="125"/>
        <w:gridCol w:w="813"/>
        <w:gridCol w:w="290"/>
        <w:gridCol w:w="236"/>
        <w:gridCol w:w="287"/>
        <w:gridCol w:w="817"/>
        <w:gridCol w:w="900"/>
      </w:tblGrid>
      <w:tr>
        <w:tblPrEx>
          <w:tblLayout w:type="fixed"/>
          <w:tblCellMar>
            <w:top w:w="0" w:type="dxa"/>
            <w:left w:w="108" w:type="dxa"/>
            <w:bottom w:w="0" w:type="dxa"/>
            <w:right w:w="108" w:type="dxa"/>
          </w:tblCellMar>
        </w:tblPrEx>
        <w:trPr>
          <w:trHeight w:val="285" w:hRule="atLeast"/>
          <w:jc w:val="center"/>
        </w:trPr>
        <w:tc>
          <w:tcPr>
            <w:tcW w:w="814" w:type="dxa"/>
            <w:tcBorders>
              <w:top w:val="nil"/>
              <w:left w:val="nil"/>
              <w:bottom w:val="nil"/>
              <w:right w:val="nil"/>
            </w:tcBorders>
            <w:vAlign w:val="center"/>
          </w:tcPr>
          <w:p>
            <w:pPr>
              <w:pStyle w:val="66"/>
              <w:widowControl/>
              <w:ind w:left="178" w:leftChars="85"/>
              <w:jc w:val="left"/>
              <w:rPr>
                <w:rFonts w:hint="eastAsia" w:ascii="宋体" w:hAnsi="宋体" w:eastAsia="宋体" w:cs="宋体"/>
                <w:color w:val="auto"/>
                <w:kern w:val="0"/>
                <w:szCs w:val="21"/>
              </w:rPr>
            </w:pPr>
          </w:p>
        </w:tc>
        <w:tc>
          <w:tcPr>
            <w:tcW w:w="2598" w:type="dxa"/>
            <w:tcBorders>
              <w:top w:val="nil"/>
              <w:left w:val="nil"/>
              <w:bottom w:val="nil"/>
              <w:right w:val="nil"/>
            </w:tcBorders>
            <w:vAlign w:val="center"/>
          </w:tcPr>
          <w:p>
            <w:pPr>
              <w:pStyle w:val="66"/>
              <w:widowControl/>
              <w:ind w:left="178" w:leftChars="85"/>
              <w:jc w:val="left"/>
              <w:rPr>
                <w:rFonts w:hint="eastAsia" w:ascii="宋体" w:hAnsi="宋体" w:eastAsia="宋体" w:cs="宋体"/>
                <w:color w:val="auto"/>
                <w:kern w:val="0"/>
                <w:szCs w:val="21"/>
              </w:rPr>
            </w:pPr>
          </w:p>
        </w:tc>
        <w:tc>
          <w:tcPr>
            <w:tcW w:w="2078" w:type="dxa"/>
            <w:gridSpan w:val="3"/>
            <w:tcBorders>
              <w:top w:val="nil"/>
              <w:left w:val="nil"/>
              <w:bottom w:val="nil"/>
              <w:right w:val="nil"/>
            </w:tcBorders>
            <w:vAlign w:val="center"/>
          </w:tcPr>
          <w:p>
            <w:pPr>
              <w:pStyle w:val="66"/>
              <w:widowControl/>
              <w:ind w:left="178" w:leftChars="85"/>
              <w:jc w:val="left"/>
              <w:rPr>
                <w:rFonts w:hint="eastAsia" w:ascii="宋体" w:hAnsi="宋体" w:eastAsia="宋体" w:cs="宋体"/>
                <w:color w:val="auto"/>
                <w:kern w:val="0"/>
                <w:szCs w:val="21"/>
              </w:rPr>
            </w:pPr>
          </w:p>
        </w:tc>
        <w:tc>
          <w:tcPr>
            <w:tcW w:w="236" w:type="dxa"/>
            <w:tcBorders>
              <w:top w:val="nil"/>
              <w:left w:val="nil"/>
              <w:bottom w:val="nil"/>
              <w:right w:val="nil"/>
            </w:tcBorders>
            <w:vAlign w:val="center"/>
          </w:tcPr>
          <w:p>
            <w:pPr>
              <w:pStyle w:val="66"/>
              <w:widowControl/>
              <w:ind w:left="178" w:leftChars="85"/>
              <w:jc w:val="left"/>
              <w:rPr>
                <w:rFonts w:hint="eastAsia" w:ascii="宋体" w:hAnsi="宋体" w:eastAsia="宋体" w:cs="宋体"/>
                <w:color w:val="auto"/>
                <w:kern w:val="0"/>
                <w:szCs w:val="21"/>
              </w:rPr>
            </w:pPr>
          </w:p>
        </w:tc>
        <w:tc>
          <w:tcPr>
            <w:tcW w:w="1228" w:type="dxa"/>
            <w:gridSpan w:val="3"/>
            <w:tcBorders>
              <w:top w:val="nil"/>
              <w:left w:val="nil"/>
              <w:bottom w:val="nil"/>
              <w:right w:val="nil"/>
            </w:tcBorders>
            <w:vAlign w:val="center"/>
          </w:tcPr>
          <w:p>
            <w:pPr>
              <w:pStyle w:val="66"/>
              <w:widowControl/>
              <w:ind w:left="178" w:leftChars="85"/>
              <w:jc w:val="left"/>
              <w:rPr>
                <w:rFonts w:hint="eastAsia" w:ascii="宋体" w:hAnsi="宋体" w:eastAsia="宋体" w:cs="宋体"/>
                <w:color w:val="auto"/>
                <w:kern w:val="0"/>
                <w:szCs w:val="21"/>
              </w:rPr>
            </w:pPr>
          </w:p>
        </w:tc>
        <w:tc>
          <w:tcPr>
            <w:tcW w:w="236" w:type="dxa"/>
            <w:tcBorders>
              <w:top w:val="nil"/>
              <w:left w:val="nil"/>
              <w:bottom w:val="nil"/>
              <w:right w:val="nil"/>
            </w:tcBorders>
            <w:vAlign w:val="center"/>
          </w:tcPr>
          <w:p>
            <w:pPr>
              <w:pStyle w:val="66"/>
              <w:widowControl/>
              <w:ind w:left="178" w:leftChars="85"/>
              <w:jc w:val="left"/>
              <w:rPr>
                <w:rFonts w:hint="eastAsia" w:ascii="宋体" w:hAnsi="宋体" w:eastAsia="宋体" w:cs="宋体"/>
                <w:color w:val="auto"/>
                <w:kern w:val="0"/>
                <w:szCs w:val="21"/>
              </w:rPr>
            </w:pPr>
          </w:p>
        </w:tc>
        <w:tc>
          <w:tcPr>
            <w:tcW w:w="2004" w:type="dxa"/>
            <w:gridSpan w:val="3"/>
            <w:tcBorders>
              <w:top w:val="nil"/>
              <w:left w:val="nil"/>
              <w:bottom w:val="single" w:color="auto" w:sz="4" w:space="0"/>
              <w:right w:val="nil"/>
            </w:tcBorders>
            <w:vAlign w:val="center"/>
          </w:tcPr>
          <w:p>
            <w:pPr>
              <w:pStyle w:val="66"/>
              <w:widowControl/>
              <w:ind w:left="178" w:leftChars="85"/>
              <w:jc w:val="center"/>
              <w:rPr>
                <w:rFonts w:hint="eastAsia" w:ascii="宋体" w:hAnsi="宋体" w:eastAsia="宋体" w:cs="宋体"/>
                <w:color w:val="auto"/>
                <w:kern w:val="0"/>
                <w:szCs w:val="21"/>
              </w:rPr>
            </w:pPr>
            <w:r>
              <w:rPr>
                <w:rFonts w:hint="eastAsia" w:ascii="宋体" w:hAnsi="宋体" w:eastAsia="宋体" w:cs="宋体"/>
                <w:color w:val="auto"/>
                <w:kern w:val="0"/>
                <w:szCs w:val="21"/>
              </w:rPr>
              <w:t>单位：工作日</w:t>
            </w:r>
          </w:p>
        </w:tc>
      </w:tr>
      <w:tr>
        <w:tblPrEx>
          <w:tblLayout w:type="fixed"/>
          <w:tblCellMar>
            <w:top w:w="0" w:type="dxa"/>
            <w:left w:w="108" w:type="dxa"/>
            <w:bottom w:w="0" w:type="dxa"/>
            <w:right w:w="108" w:type="dxa"/>
          </w:tblCellMar>
        </w:tblPrEx>
        <w:trPr>
          <w:trHeight w:val="408" w:hRule="atLeast"/>
          <w:jc w:val="center"/>
        </w:trPr>
        <w:tc>
          <w:tcPr>
            <w:tcW w:w="814" w:type="dxa"/>
            <w:vMerge w:val="restart"/>
            <w:tcBorders>
              <w:top w:val="single" w:color="auto" w:sz="4" w:space="0"/>
              <w:left w:val="single" w:color="auto" w:sz="4" w:space="0"/>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序号</w:t>
            </w:r>
          </w:p>
        </w:tc>
        <w:tc>
          <w:tcPr>
            <w:tcW w:w="2598" w:type="dxa"/>
            <w:vMerge w:val="restart"/>
            <w:tcBorders>
              <w:top w:val="single" w:color="auto" w:sz="4" w:space="0"/>
              <w:left w:val="single" w:color="auto" w:sz="4" w:space="0"/>
              <w:bottom w:val="single" w:color="auto" w:sz="4" w:space="0"/>
              <w:right w:val="single" w:color="auto" w:sz="4" w:space="0"/>
            </w:tcBorders>
            <w:vAlign w:val="center"/>
          </w:tcPr>
          <w:p>
            <w:pPr>
              <w:pStyle w:val="66"/>
              <w:widowControl/>
              <w:ind w:left="178" w:leftChars="85"/>
              <w:jc w:val="center"/>
              <w:rPr>
                <w:rFonts w:hint="eastAsia" w:ascii="宋体" w:hAnsi="宋体" w:eastAsia="宋体" w:cs="宋体"/>
                <w:color w:val="auto"/>
                <w:kern w:val="0"/>
                <w:szCs w:val="21"/>
              </w:rPr>
            </w:pPr>
            <w:r>
              <w:rPr>
                <w:rFonts w:hint="eastAsia" w:ascii="宋体" w:hAnsi="宋体" w:eastAsia="宋体" w:cs="宋体"/>
                <w:color w:val="auto"/>
                <w:kern w:val="0"/>
                <w:szCs w:val="21"/>
              </w:rPr>
              <w:t>项目</w:t>
            </w:r>
          </w:p>
        </w:tc>
        <w:tc>
          <w:tcPr>
            <w:tcW w:w="1626" w:type="dxa"/>
            <w:gridSpan w:val="2"/>
            <w:tcBorders>
              <w:top w:val="single" w:color="auto" w:sz="4" w:space="0"/>
              <w:left w:val="nil"/>
              <w:bottom w:val="single" w:color="auto" w:sz="4" w:space="0"/>
              <w:right w:val="single" w:color="auto" w:sz="4" w:space="0"/>
            </w:tcBorders>
            <w:vAlign w:val="center"/>
          </w:tcPr>
          <w:p>
            <w:pPr>
              <w:pStyle w:val="66"/>
              <w:widowControl/>
              <w:ind w:left="178" w:leftChars="85"/>
              <w:jc w:val="center"/>
              <w:rPr>
                <w:rFonts w:hint="eastAsia" w:ascii="宋体" w:hAnsi="宋体" w:eastAsia="宋体" w:cs="宋体"/>
                <w:color w:val="auto"/>
                <w:kern w:val="0"/>
                <w:szCs w:val="21"/>
              </w:rPr>
            </w:pPr>
            <w:r>
              <w:rPr>
                <w:rFonts w:hint="eastAsia" w:ascii="宋体" w:hAnsi="宋体" w:eastAsia="宋体" w:cs="宋体"/>
                <w:color w:val="auto"/>
                <w:kern w:val="0"/>
                <w:szCs w:val="21"/>
              </w:rPr>
              <w:t>市政路桥</w:t>
            </w:r>
          </w:p>
        </w:tc>
        <w:tc>
          <w:tcPr>
            <w:tcW w:w="1626" w:type="dxa"/>
            <w:gridSpan w:val="4"/>
            <w:tcBorders>
              <w:top w:val="single" w:color="auto" w:sz="4" w:space="0"/>
              <w:left w:val="nil"/>
              <w:bottom w:val="single" w:color="auto" w:sz="4" w:space="0"/>
              <w:right w:val="single" w:color="auto" w:sz="4" w:space="0"/>
            </w:tcBorders>
            <w:vAlign w:val="center"/>
          </w:tcPr>
          <w:p>
            <w:pPr>
              <w:pStyle w:val="66"/>
              <w:widowControl/>
              <w:ind w:left="178" w:leftChars="85"/>
              <w:jc w:val="center"/>
              <w:rPr>
                <w:rFonts w:hint="eastAsia" w:ascii="宋体" w:hAnsi="宋体" w:eastAsia="宋体" w:cs="宋体"/>
                <w:color w:val="auto"/>
                <w:kern w:val="0"/>
                <w:szCs w:val="21"/>
              </w:rPr>
            </w:pPr>
            <w:r>
              <w:rPr>
                <w:rFonts w:hint="eastAsia" w:ascii="宋体" w:hAnsi="宋体" w:eastAsia="宋体" w:cs="宋体"/>
                <w:color w:val="auto"/>
                <w:kern w:val="0"/>
                <w:szCs w:val="21"/>
              </w:rPr>
              <w:t>土建</w:t>
            </w:r>
          </w:p>
        </w:tc>
        <w:tc>
          <w:tcPr>
            <w:tcW w:w="1630" w:type="dxa"/>
            <w:gridSpan w:val="4"/>
            <w:tcBorders>
              <w:top w:val="single" w:color="auto" w:sz="4" w:space="0"/>
              <w:left w:val="nil"/>
              <w:bottom w:val="single" w:color="auto" w:sz="4" w:space="0"/>
              <w:right w:val="single" w:color="auto" w:sz="4" w:space="0"/>
            </w:tcBorders>
            <w:vAlign w:val="center"/>
          </w:tcPr>
          <w:p>
            <w:pPr>
              <w:pStyle w:val="66"/>
              <w:widowControl/>
              <w:ind w:left="178" w:leftChars="85"/>
              <w:jc w:val="center"/>
              <w:rPr>
                <w:rFonts w:hint="eastAsia" w:ascii="宋体" w:hAnsi="宋体" w:eastAsia="宋体" w:cs="宋体"/>
                <w:color w:val="auto"/>
                <w:kern w:val="0"/>
                <w:szCs w:val="21"/>
              </w:rPr>
            </w:pPr>
            <w:r>
              <w:rPr>
                <w:rFonts w:hint="eastAsia" w:ascii="宋体" w:hAnsi="宋体" w:eastAsia="宋体" w:cs="宋体"/>
                <w:color w:val="auto"/>
                <w:kern w:val="0"/>
                <w:szCs w:val="21"/>
              </w:rPr>
              <w:t>安装</w:t>
            </w:r>
          </w:p>
        </w:tc>
        <w:tc>
          <w:tcPr>
            <w:tcW w:w="900" w:type="dxa"/>
            <w:vMerge w:val="restart"/>
            <w:tcBorders>
              <w:top w:val="nil"/>
              <w:left w:val="single" w:color="auto" w:sz="4" w:space="0"/>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备注</w:t>
            </w:r>
          </w:p>
        </w:tc>
      </w:tr>
      <w:tr>
        <w:tblPrEx>
          <w:tblLayout w:type="fixed"/>
          <w:tblCellMar>
            <w:top w:w="0" w:type="dxa"/>
            <w:left w:w="108" w:type="dxa"/>
            <w:bottom w:w="0" w:type="dxa"/>
            <w:right w:w="108" w:type="dxa"/>
          </w:tblCellMar>
        </w:tblPrEx>
        <w:trPr>
          <w:trHeight w:val="444" w:hRule="atLeast"/>
          <w:jc w:val="center"/>
        </w:trPr>
        <w:tc>
          <w:tcPr>
            <w:tcW w:w="814" w:type="dxa"/>
            <w:vMerge w:val="continue"/>
            <w:tcBorders>
              <w:top w:val="single" w:color="auto" w:sz="4" w:space="0"/>
              <w:left w:val="single" w:color="auto" w:sz="4" w:space="0"/>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p>
        </w:tc>
        <w:tc>
          <w:tcPr>
            <w:tcW w:w="2598" w:type="dxa"/>
            <w:vMerge w:val="continue"/>
            <w:tcBorders>
              <w:top w:val="single" w:color="auto" w:sz="4" w:space="0"/>
              <w:left w:val="single" w:color="auto" w:sz="4" w:space="0"/>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审核</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编制</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审核</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编制</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审核</w:t>
            </w:r>
          </w:p>
        </w:tc>
        <w:tc>
          <w:tcPr>
            <w:tcW w:w="817"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编制</w:t>
            </w:r>
          </w:p>
        </w:tc>
        <w:tc>
          <w:tcPr>
            <w:tcW w:w="900" w:type="dxa"/>
            <w:vMerge w:val="continue"/>
            <w:tcBorders>
              <w:top w:val="nil"/>
              <w:left w:val="single" w:color="auto" w:sz="4" w:space="0"/>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p>
        </w:tc>
      </w:tr>
      <w:tr>
        <w:tblPrEx>
          <w:tblLayout w:type="fixed"/>
          <w:tblCellMar>
            <w:top w:w="0" w:type="dxa"/>
            <w:left w:w="108" w:type="dxa"/>
            <w:bottom w:w="0" w:type="dxa"/>
            <w:right w:w="108" w:type="dxa"/>
          </w:tblCellMar>
        </w:tblPrEx>
        <w:trPr>
          <w:trHeight w:val="471" w:hRule="atLeast"/>
          <w:jc w:val="center"/>
        </w:trPr>
        <w:tc>
          <w:tcPr>
            <w:tcW w:w="814" w:type="dxa"/>
            <w:tcBorders>
              <w:top w:val="nil"/>
              <w:left w:val="single" w:color="auto" w:sz="4" w:space="0"/>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一</w:t>
            </w:r>
          </w:p>
        </w:tc>
        <w:tc>
          <w:tcPr>
            <w:tcW w:w="2598"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概、预算（含招标工程量清单）、进度款</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　</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　</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　</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　</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　</w:t>
            </w:r>
          </w:p>
        </w:tc>
        <w:tc>
          <w:tcPr>
            <w:tcW w:w="817"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　</w:t>
            </w:r>
          </w:p>
        </w:tc>
        <w:tc>
          <w:tcPr>
            <w:tcW w:w="900"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　</w:t>
            </w:r>
          </w:p>
        </w:tc>
      </w:tr>
      <w:tr>
        <w:tblPrEx>
          <w:tblLayout w:type="fixed"/>
          <w:tblCellMar>
            <w:top w:w="0" w:type="dxa"/>
            <w:left w:w="108" w:type="dxa"/>
            <w:bottom w:w="0" w:type="dxa"/>
            <w:right w:w="108" w:type="dxa"/>
          </w:tblCellMar>
        </w:tblPrEx>
        <w:trPr>
          <w:trHeight w:val="285" w:hRule="atLeast"/>
          <w:jc w:val="center"/>
        </w:trPr>
        <w:tc>
          <w:tcPr>
            <w:tcW w:w="814" w:type="dxa"/>
            <w:tcBorders>
              <w:top w:val="nil"/>
              <w:left w:val="single" w:color="auto" w:sz="4" w:space="0"/>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1</w:t>
            </w:r>
          </w:p>
        </w:tc>
        <w:tc>
          <w:tcPr>
            <w:tcW w:w="2598"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投资500万元以内</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8</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10</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10</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10</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10</w:t>
            </w:r>
          </w:p>
        </w:tc>
        <w:tc>
          <w:tcPr>
            <w:tcW w:w="817"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10</w:t>
            </w:r>
          </w:p>
        </w:tc>
        <w:tc>
          <w:tcPr>
            <w:tcW w:w="900"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　</w:t>
            </w:r>
          </w:p>
        </w:tc>
      </w:tr>
      <w:tr>
        <w:tblPrEx>
          <w:tblLayout w:type="fixed"/>
          <w:tblCellMar>
            <w:top w:w="0" w:type="dxa"/>
            <w:left w:w="108" w:type="dxa"/>
            <w:bottom w:w="0" w:type="dxa"/>
            <w:right w:w="108" w:type="dxa"/>
          </w:tblCellMar>
        </w:tblPrEx>
        <w:trPr>
          <w:trHeight w:val="285" w:hRule="atLeast"/>
          <w:jc w:val="center"/>
        </w:trPr>
        <w:tc>
          <w:tcPr>
            <w:tcW w:w="814" w:type="dxa"/>
            <w:tcBorders>
              <w:top w:val="nil"/>
              <w:left w:val="single" w:color="auto" w:sz="4" w:space="0"/>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w:t>
            </w:r>
          </w:p>
        </w:tc>
        <w:tc>
          <w:tcPr>
            <w:tcW w:w="2598"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投资500-2500万元</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12</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15</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15</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15</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15</w:t>
            </w:r>
          </w:p>
        </w:tc>
        <w:tc>
          <w:tcPr>
            <w:tcW w:w="817"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15</w:t>
            </w:r>
          </w:p>
        </w:tc>
        <w:tc>
          <w:tcPr>
            <w:tcW w:w="900"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　</w:t>
            </w:r>
          </w:p>
        </w:tc>
      </w:tr>
      <w:tr>
        <w:tblPrEx>
          <w:tblLayout w:type="fixed"/>
          <w:tblCellMar>
            <w:top w:w="0" w:type="dxa"/>
            <w:left w:w="108" w:type="dxa"/>
            <w:bottom w:w="0" w:type="dxa"/>
            <w:right w:w="108" w:type="dxa"/>
          </w:tblCellMar>
        </w:tblPrEx>
        <w:trPr>
          <w:trHeight w:val="285" w:hRule="atLeast"/>
          <w:jc w:val="center"/>
        </w:trPr>
        <w:tc>
          <w:tcPr>
            <w:tcW w:w="814" w:type="dxa"/>
            <w:tcBorders>
              <w:top w:val="nil"/>
              <w:left w:val="single" w:color="auto" w:sz="4" w:space="0"/>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3</w:t>
            </w:r>
          </w:p>
        </w:tc>
        <w:tc>
          <w:tcPr>
            <w:tcW w:w="2598"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投资2500-5000万元</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15</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15</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18</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20</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20</w:t>
            </w:r>
          </w:p>
        </w:tc>
        <w:tc>
          <w:tcPr>
            <w:tcW w:w="817"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20</w:t>
            </w:r>
          </w:p>
        </w:tc>
        <w:tc>
          <w:tcPr>
            <w:tcW w:w="900"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　</w:t>
            </w:r>
          </w:p>
        </w:tc>
      </w:tr>
      <w:tr>
        <w:tblPrEx>
          <w:tblLayout w:type="fixed"/>
          <w:tblCellMar>
            <w:top w:w="0" w:type="dxa"/>
            <w:left w:w="108" w:type="dxa"/>
            <w:bottom w:w="0" w:type="dxa"/>
            <w:right w:w="108" w:type="dxa"/>
          </w:tblCellMar>
        </w:tblPrEx>
        <w:trPr>
          <w:trHeight w:val="285" w:hRule="atLeast"/>
          <w:jc w:val="center"/>
        </w:trPr>
        <w:tc>
          <w:tcPr>
            <w:tcW w:w="814" w:type="dxa"/>
            <w:tcBorders>
              <w:top w:val="nil"/>
              <w:left w:val="single" w:color="auto" w:sz="4" w:space="0"/>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4</w:t>
            </w:r>
          </w:p>
        </w:tc>
        <w:tc>
          <w:tcPr>
            <w:tcW w:w="2598"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投资5000-7500万元</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18</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18</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22</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22</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22</w:t>
            </w:r>
          </w:p>
        </w:tc>
        <w:tc>
          <w:tcPr>
            <w:tcW w:w="817"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22</w:t>
            </w:r>
          </w:p>
        </w:tc>
        <w:tc>
          <w:tcPr>
            <w:tcW w:w="900"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　</w:t>
            </w:r>
          </w:p>
        </w:tc>
      </w:tr>
      <w:tr>
        <w:tblPrEx>
          <w:tblLayout w:type="fixed"/>
          <w:tblCellMar>
            <w:top w:w="0" w:type="dxa"/>
            <w:left w:w="108" w:type="dxa"/>
            <w:bottom w:w="0" w:type="dxa"/>
            <w:right w:w="108" w:type="dxa"/>
          </w:tblCellMar>
        </w:tblPrEx>
        <w:trPr>
          <w:trHeight w:val="285" w:hRule="atLeast"/>
          <w:jc w:val="center"/>
        </w:trPr>
        <w:tc>
          <w:tcPr>
            <w:tcW w:w="814" w:type="dxa"/>
            <w:tcBorders>
              <w:top w:val="nil"/>
              <w:left w:val="single" w:color="auto" w:sz="4" w:space="0"/>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5</w:t>
            </w:r>
          </w:p>
        </w:tc>
        <w:tc>
          <w:tcPr>
            <w:tcW w:w="2598"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投资7500-10000万元</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20</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20</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20</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25</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25</w:t>
            </w:r>
          </w:p>
        </w:tc>
        <w:tc>
          <w:tcPr>
            <w:tcW w:w="817"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25</w:t>
            </w:r>
          </w:p>
        </w:tc>
        <w:tc>
          <w:tcPr>
            <w:tcW w:w="900"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　</w:t>
            </w:r>
          </w:p>
        </w:tc>
      </w:tr>
      <w:tr>
        <w:tblPrEx>
          <w:tblLayout w:type="fixed"/>
          <w:tblCellMar>
            <w:top w:w="0" w:type="dxa"/>
            <w:left w:w="108" w:type="dxa"/>
            <w:bottom w:w="0" w:type="dxa"/>
            <w:right w:w="108" w:type="dxa"/>
          </w:tblCellMar>
        </w:tblPrEx>
        <w:trPr>
          <w:trHeight w:val="285" w:hRule="atLeast"/>
          <w:jc w:val="center"/>
        </w:trPr>
        <w:tc>
          <w:tcPr>
            <w:tcW w:w="814" w:type="dxa"/>
            <w:tcBorders>
              <w:top w:val="nil"/>
              <w:left w:val="single" w:color="auto" w:sz="4" w:space="0"/>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6</w:t>
            </w:r>
          </w:p>
        </w:tc>
        <w:tc>
          <w:tcPr>
            <w:tcW w:w="2598"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投资10000万元以上</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25</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25</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30</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30</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30</w:t>
            </w:r>
          </w:p>
        </w:tc>
        <w:tc>
          <w:tcPr>
            <w:tcW w:w="817"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30</w:t>
            </w:r>
          </w:p>
        </w:tc>
        <w:tc>
          <w:tcPr>
            <w:tcW w:w="900"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　</w:t>
            </w:r>
          </w:p>
        </w:tc>
      </w:tr>
      <w:tr>
        <w:tblPrEx>
          <w:tblLayout w:type="fixed"/>
          <w:tblCellMar>
            <w:top w:w="0" w:type="dxa"/>
            <w:left w:w="108" w:type="dxa"/>
            <w:bottom w:w="0" w:type="dxa"/>
            <w:right w:w="108" w:type="dxa"/>
          </w:tblCellMar>
        </w:tblPrEx>
        <w:trPr>
          <w:trHeight w:val="285" w:hRule="atLeast"/>
          <w:jc w:val="center"/>
        </w:trPr>
        <w:tc>
          <w:tcPr>
            <w:tcW w:w="814" w:type="dxa"/>
            <w:tcBorders>
              <w:top w:val="nil"/>
              <w:left w:val="single" w:color="auto" w:sz="4" w:space="0"/>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二</w:t>
            </w:r>
          </w:p>
        </w:tc>
        <w:tc>
          <w:tcPr>
            <w:tcW w:w="2598"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结算</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　</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　</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　</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　</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　</w:t>
            </w:r>
          </w:p>
        </w:tc>
        <w:tc>
          <w:tcPr>
            <w:tcW w:w="817"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　</w:t>
            </w:r>
          </w:p>
        </w:tc>
        <w:tc>
          <w:tcPr>
            <w:tcW w:w="900"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　</w:t>
            </w:r>
          </w:p>
        </w:tc>
      </w:tr>
      <w:tr>
        <w:tblPrEx>
          <w:tblLayout w:type="fixed"/>
          <w:tblCellMar>
            <w:top w:w="0" w:type="dxa"/>
            <w:left w:w="108" w:type="dxa"/>
            <w:bottom w:w="0" w:type="dxa"/>
            <w:right w:w="108" w:type="dxa"/>
          </w:tblCellMar>
        </w:tblPrEx>
        <w:trPr>
          <w:trHeight w:val="285" w:hRule="atLeast"/>
          <w:jc w:val="center"/>
        </w:trPr>
        <w:tc>
          <w:tcPr>
            <w:tcW w:w="814" w:type="dxa"/>
            <w:tcBorders>
              <w:top w:val="nil"/>
              <w:left w:val="single" w:color="auto" w:sz="4" w:space="0"/>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1</w:t>
            </w:r>
          </w:p>
        </w:tc>
        <w:tc>
          <w:tcPr>
            <w:tcW w:w="2598"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投资500万元以内</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20</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20</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25</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25</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25</w:t>
            </w:r>
          </w:p>
        </w:tc>
        <w:tc>
          <w:tcPr>
            <w:tcW w:w="817"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25</w:t>
            </w:r>
          </w:p>
        </w:tc>
        <w:tc>
          <w:tcPr>
            <w:tcW w:w="900"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　</w:t>
            </w:r>
          </w:p>
        </w:tc>
      </w:tr>
      <w:tr>
        <w:tblPrEx>
          <w:tblLayout w:type="fixed"/>
          <w:tblCellMar>
            <w:top w:w="0" w:type="dxa"/>
            <w:left w:w="108" w:type="dxa"/>
            <w:bottom w:w="0" w:type="dxa"/>
            <w:right w:w="108" w:type="dxa"/>
          </w:tblCellMar>
        </w:tblPrEx>
        <w:trPr>
          <w:trHeight w:val="285" w:hRule="atLeast"/>
          <w:jc w:val="center"/>
        </w:trPr>
        <w:tc>
          <w:tcPr>
            <w:tcW w:w="814" w:type="dxa"/>
            <w:tcBorders>
              <w:top w:val="nil"/>
              <w:left w:val="single" w:color="auto" w:sz="4" w:space="0"/>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w:t>
            </w:r>
          </w:p>
        </w:tc>
        <w:tc>
          <w:tcPr>
            <w:tcW w:w="2598"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投资500-2500万元</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25</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25</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30</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30</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30</w:t>
            </w:r>
          </w:p>
        </w:tc>
        <w:tc>
          <w:tcPr>
            <w:tcW w:w="817"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30</w:t>
            </w:r>
          </w:p>
        </w:tc>
        <w:tc>
          <w:tcPr>
            <w:tcW w:w="900"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　</w:t>
            </w:r>
          </w:p>
        </w:tc>
      </w:tr>
      <w:tr>
        <w:tblPrEx>
          <w:tblLayout w:type="fixed"/>
          <w:tblCellMar>
            <w:top w:w="0" w:type="dxa"/>
            <w:left w:w="108" w:type="dxa"/>
            <w:bottom w:w="0" w:type="dxa"/>
            <w:right w:w="108" w:type="dxa"/>
          </w:tblCellMar>
        </w:tblPrEx>
        <w:trPr>
          <w:trHeight w:val="285" w:hRule="atLeast"/>
          <w:jc w:val="center"/>
        </w:trPr>
        <w:tc>
          <w:tcPr>
            <w:tcW w:w="814" w:type="dxa"/>
            <w:tcBorders>
              <w:top w:val="nil"/>
              <w:left w:val="single" w:color="auto" w:sz="4" w:space="0"/>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3</w:t>
            </w:r>
          </w:p>
        </w:tc>
        <w:tc>
          <w:tcPr>
            <w:tcW w:w="2598"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投资2500-5000万元</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30</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30</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35</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35</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35</w:t>
            </w:r>
          </w:p>
        </w:tc>
        <w:tc>
          <w:tcPr>
            <w:tcW w:w="817"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35</w:t>
            </w:r>
          </w:p>
        </w:tc>
        <w:tc>
          <w:tcPr>
            <w:tcW w:w="900"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　</w:t>
            </w:r>
          </w:p>
        </w:tc>
      </w:tr>
      <w:tr>
        <w:tblPrEx>
          <w:tblLayout w:type="fixed"/>
          <w:tblCellMar>
            <w:top w:w="0" w:type="dxa"/>
            <w:left w:w="108" w:type="dxa"/>
            <w:bottom w:w="0" w:type="dxa"/>
            <w:right w:w="108" w:type="dxa"/>
          </w:tblCellMar>
        </w:tblPrEx>
        <w:trPr>
          <w:trHeight w:val="285" w:hRule="atLeast"/>
          <w:jc w:val="center"/>
        </w:trPr>
        <w:tc>
          <w:tcPr>
            <w:tcW w:w="814" w:type="dxa"/>
            <w:tcBorders>
              <w:top w:val="nil"/>
              <w:left w:val="single" w:color="auto" w:sz="4" w:space="0"/>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4</w:t>
            </w:r>
          </w:p>
        </w:tc>
        <w:tc>
          <w:tcPr>
            <w:tcW w:w="2598"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投资5000-7500万元</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35</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35</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40</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40</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40</w:t>
            </w:r>
          </w:p>
        </w:tc>
        <w:tc>
          <w:tcPr>
            <w:tcW w:w="817"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40</w:t>
            </w:r>
          </w:p>
        </w:tc>
        <w:tc>
          <w:tcPr>
            <w:tcW w:w="900"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　</w:t>
            </w:r>
          </w:p>
        </w:tc>
      </w:tr>
      <w:tr>
        <w:tblPrEx>
          <w:tblLayout w:type="fixed"/>
          <w:tblCellMar>
            <w:top w:w="0" w:type="dxa"/>
            <w:left w:w="108" w:type="dxa"/>
            <w:bottom w:w="0" w:type="dxa"/>
            <w:right w:w="108" w:type="dxa"/>
          </w:tblCellMar>
        </w:tblPrEx>
        <w:trPr>
          <w:trHeight w:val="285" w:hRule="atLeast"/>
          <w:jc w:val="center"/>
        </w:trPr>
        <w:tc>
          <w:tcPr>
            <w:tcW w:w="814" w:type="dxa"/>
            <w:tcBorders>
              <w:top w:val="nil"/>
              <w:left w:val="single" w:color="auto" w:sz="4" w:space="0"/>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5</w:t>
            </w:r>
          </w:p>
        </w:tc>
        <w:tc>
          <w:tcPr>
            <w:tcW w:w="2598"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投资7500-10000万元</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40</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40</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45</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45</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45</w:t>
            </w:r>
          </w:p>
        </w:tc>
        <w:tc>
          <w:tcPr>
            <w:tcW w:w="817"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45</w:t>
            </w:r>
          </w:p>
        </w:tc>
        <w:tc>
          <w:tcPr>
            <w:tcW w:w="900"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　</w:t>
            </w:r>
          </w:p>
        </w:tc>
      </w:tr>
      <w:tr>
        <w:tblPrEx>
          <w:tblLayout w:type="fixed"/>
          <w:tblCellMar>
            <w:top w:w="0" w:type="dxa"/>
            <w:left w:w="108" w:type="dxa"/>
            <w:bottom w:w="0" w:type="dxa"/>
            <w:right w:w="108" w:type="dxa"/>
          </w:tblCellMar>
        </w:tblPrEx>
        <w:trPr>
          <w:trHeight w:val="285" w:hRule="atLeast"/>
          <w:jc w:val="center"/>
        </w:trPr>
        <w:tc>
          <w:tcPr>
            <w:tcW w:w="814" w:type="dxa"/>
            <w:tcBorders>
              <w:top w:val="nil"/>
              <w:left w:val="single" w:color="auto" w:sz="4" w:space="0"/>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6</w:t>
            </w:r>
          </w:p>
        </w:tc>
        <w:tc>
          <w:tcPr>
            <w:tcW w:w="2598"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投资10000万元以上</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45</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45</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50</w:t>
            </w:r>
          </w:p>
        </w:tc>
        <w:tc>
          <w:tcPr>
            <w:tcW w:w="813"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50</w:t>
            </w:r>
          </w:p>
        </w:tc>
        <w:tc>
          <w:tcPr>
            <w:tcW w:w="813" w:type="dxa"/>
            <w:gridSpan w:val="3"/>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50</w:t>
            </w:r>
          </w:p>
        </w:tc>
        <w:tc>
          <w:tcPr>
            <w:tcW w:w="817" w:type="dxa"/>
            <w:tcBorders>
              <w:top w:val="nil"/>
              <w:left w:val="nil"/>
              <w:bottom w:val="single" w:color="auto" w:sz="4" w:space="0"/>
              <w:right w:val="single" w:color="auto" w:sz="4" w:space="0"/>
            </w:tcBorders>
            <w:vAlign w:val="center"/>
          </w:tcPr>
          <w:p>
            <w:pPr>
              <w:pStyle w:val="66"/>
              <w:widowControl/>
              <w:jc w:val="center"/>
              <w:rPr>
                <w:rFonts w:hint="eastAsia" w:ascii="宋体" w:hAnsi="宋体" w:eastAsia="宋体" w:cs="宋体"/>
                <w:color w:val="auto"/>
                <w:kern w:val="0"/>
                <w:szCs w:val="21"/>
              </w:rPr>
            </w:pPr>
            <w:r>
              <w:rPr>
                <w:rFonts w:hint="eastAsia" w:ascii="宋体" w:hAnsi="宋体" w:eastAsia="宋体" w:cs="宋体"/>
                <w:color w:val="auto"/>
                <w:kern w:val="0"/>
                <w:szCs w:val="21"/>
              </w:rPr>
              <w:t>50</w:t>
            </w:r>
          </w:p>
        </w:tc>
        <w:tc>
          <w:tcPr>
            <w:tcW w:w="900" w:type="dxa"/>
            <w:tcBorders>
              <w:top w:val="nil"/>
              <w:left w:val="nil"/>
              <w:bottom w:val="single" w:color="auto" w:sz="4" w:space="0"/>
              <w:right w:val="single" w:color="auto" w:sz="4" w:space="0"/>
            </w:tcBorders>
            <w:vAlign w:val="center"/>
          </w:tcPr>
          <w:p>
            <w:pPr>
              <w:pStyle w:val="66"/>
              <w:widowControl/>
              <w:ind w:left="178" w:leftChars="85"/>
              <w:jc w:val="left"/>
              <w:rPr>
                <w:rFonts w:hint="eastAsia" w:ascii="宋体" w:hAnsi="宋体" w:eastAsia="宋体" w:cs="宋体"/>
                <w:color w:val="auto"/>
                <w:kern w:val="0"/>
                <w:szCs w:val="21"/>
              </w:rPr>
            </w:pPr>
            <w:r>
              <w:rPr>
                <w:rFonts w:hint="eastAsia" w:ascii="宋体" w:hAnsi="宋体" w:eastAsia="宋体" w:cs="宋体"/>
                <w:color w:val="auto"/>
                <w:kern w:val="0"/>
                <w:szCs w:val="21"/>
              </w:rPr>
              <w:t>　</w:t>
            </w:r>
          </w:p>
        </w:tc>
      </w:tr>
    </w:tbl>
    <w:p>
      <w:pPr>
        <w:pStyle w:val="60"/>
        <w:spacing w:line="360" w:lineRule="auto"/>
        <w:rPr>
          <w:rFonts w:hint="eastAsia" w:ascii="宋体" w:hAnsi="宋体" w:eastAsia="宋体" w:cs="宋体"/>
          <w:color w:val="auto"/>
          <w:sz w:val="24"/>
        </w:rPr>
      </w:pPr>
      <w:bookmarkStart w:id="12" w:name="_Toc354387382"/>
      <w:r>
        <w:rPr>
          <w:rFonts w:hint="eastAsia" w:ascii="宋体" w:hAnsi="宋体" w:eastAsia="宋体" w:cs="宋体"/>
          <w:color w:val="auto"/>
          <w:sz w:val="24"/>
        </w:rPr>
        <w:t xml:space="preserve">以上时限为完成工程造价成果文件的全部时间，包括编审、对数、现场勘察及复核后修改等时间。造价咨询服务机构接到委托人通知领取资料、对数或现场勘察等要求后应在半天内作出反应，在约定的时间内派人到委托人约定的地点办理有关事务，造价咨询服务机构如未在约定的时间内到委托人约定的地点办理有关事务的，迟到半小时以上累计超过 3 次（含 3 次）又未能提供合理解释的，每超过 3 次由县财政局暂停分配任务一次。编审时限从造价咨询服务机构领取资料签收时间开始计算，如因特殊情况需要加快工作进度的，造价咨询服务机构应采取切实有效的措施满足委托人的合理要求。造价咨询服务机构应加强对专业技术人员的工作进度监管，尤其是对数后修改时间要严格控制。  </w:t>
      </w:r>
    </w:p>
    <w:p>
      <w:pPr>
        <w:pStyle w:val="67"/>
        <w:spacing w:line="360" w:lineRule="auto"/>
        <w:rPr>
          <w:rFonts w:hint="eastAsia" w:ascii="宋体" w:hAnsi="宋体" w:eastAsia="宋体" w:cs="宋体"/>
          <w:color w:val="auto"/>
          <w:sz w:val="24"/>
        </w:rPr>
      </w:pPr>
      <w:r>
        <w:rPr>
          <w:rFonts w:hint="eastAsia" w:ascii="宋体" w:hAnsi="宋体" w:eastAsia="宋体" w:cs="宋体"/>
          <w:color w:val="auto"/>
          <w:sz w:val="24"/>
        </w:rPr>
        <w:t>造价咨询服务机构如未能按规定的时限完成工程造价咨询服务应及时向委托人提出合理的书面延期申请，如果由于自身原因导致工程进度和质量无法按时按质完成时，经委托人批准同意后编审时限可适当延长或协议另行委托其他定点供应商接收完成评审任务。如造价咨询机构超过规定时限未能完成工程造价咨询编审任务且没有经委托人同意延期的，造价咨询服务机构应承担因编审延误造成的一切责任。</w:t>
      </w:r>
    </w:p>
    <w:p>
      <w:pPr>
        <w:pStyle w:val="67"/>
        <w:spacing w:line="360" w:lineRule="auto"/>
        <w:rPr>
          <w:rFonts w:hint="eastAsia" w:ascii="宋体" w:hAnsi="宋体" w:eastAsia="宋体" w:cs="宋体"/>
          <w:b/>
          <w:color w:val="auto"/>
          <w:sz w:val="24"/>
        </w:rPr>
      </w:pPr>
      <w:r>
        <w:rPr>
          <w:rFonts w:hint="eastAsia" w:ascii="宋体" w:hAnsi="宋体" w:eastAsia="宋体" w:cs="宋体"/>
          <w:b/>
          <w:color w:val="auto"/>
          <w:sz w:val="24"/>
        </w:rPr>
        <w:t>（二）主要的审核内容及方法要求</w:t>
      </w:r>
    </w:p>
    <w:p>
      <w:pPr>
        <w:pStyle w:val="67"/>
        <w:spacing w:line="360" w:lineRule="auto"/>
        <w:rPr>
          <w:rFonts w:hint="eastAsia" w:ascii="宋体" w:hAnsi="宋体" w:eastAsia="宋体" w:cs="宋体"/>
          <w:color w:val="auto"/>
          <w:sz w:val="24"/>
        </w:rPr>
      </w:pPr>
      <w:r>
        <w:rPr>
          <w:rFonts w:hint="eastAsia" w:ascii="宋体" w:hAnsi="宋体" w:eastAsia="宋体" w:cs="宋体"/>
          <w:color w:val="auto"/>
          <w:sz w:val="24"/>
        </w:rPr>
        <w:t>① 咨询人接受具体工程委托后，应在一个工作日内上报拟派审核人员及其联系办法，并派出审核人员接受县财政投资评审中心主办人员工作技术交底，细化审核内容。</w:t>
      </w:r>
    </w:p>
    <w:p>
      <w:pPr>
        <w:pStyle w:val="67"/>
        <w:spacing w:line="360" w:lineRule="auto"/>
        <w:rPr>
          <w:rFonts w:hint="eastAsia" w:ascii="宋体" w:hAnsi="宋体" w:eastAsia="宋体" w:cs="宋体"/>
          <w:color w:val="auto"/>
          <w:sz w:val="24"/>
        </w:rPr>
      </w:pPr>
      <w:r>
        <w:rPr>
          <w:rFonts w:hint="eastAsia" w:ascii="宋体" w:hAnsi="宋体" w:eastAsia="宋体" w:cs="宋体"/>
          <w:color w:val="auto"/>
          <w:sz w:val="24"/>
        </w:rPr>
        <w:t>② 在具体审核工作中应细化到如下技术要点：</w:t>
      </w:r>
    </w:p>
    <w:p>
      <w:pPr>
        <w:pStyle w:val="67"/>
        <w:spacing w:line="360" w:lineRule="auto"/>
        <w:rPr>
          <w:rFonts w:hint="eastAsia" w:ascii="宋体" w:hAnsi="宋体" w:eastAsia="宋体" w:cs="宋体"/>
          <w:color w:val="auto"/>
          <w:sz w:val="24"/>
        </w:rPr>
      </w:pPr>
      <w:r>
        <w:rPr>
          <w:rFonts w:hint="eastAsia" w:ascii="宋体" w:hAnsi="宋体" w:eastAsia="宋体" w:cs="宋体"/>
          <w:color w:val="auto"/>
          <w:sz w:val="24"/>
        </w:rPr>
        <w:t>1）投资估算审核：近期内同类工程指标的对比分析；前期费用构成的简要分析；现场情况对工程造价不确定性的影响；建设单位报送估算可能遗漏的问题（如水、电增容的考虑）；必须按技术交底要求进行现场勘察。</w:t>
      </w:r>
    </w:p>
    <w:p>
      <w:pPr>
        <w:pStyle w:val="67"/>
        <w:spacing w:line="360" w:lineRule="auto"/>
        <w:rPr>
          <w:rFonts w:hint="eastAsia" w:ascii="宋体" w:hAnsi="宋体" w:eastAsia="宋体" w:cs="宋体"/>
          <w:color w:val="auto"/>
          <w:sz w:val="24"/>
        </w:rPr>
      </w:pPr>
      <w:r>
        <w:rPr>
          <w:rFonts w:hint="eastAsia" w:ascii="宋体" w:hAnsi="宋体" w:eastAsia="宋体" w:cs="宋体"/>
          <w:color w:val="auto"/>
          <w:sz w:val="24"/>
        </w:rPr>
        <w:t>2）工程概算审核：近期内同类工程指标的对比分析；前期费用构成的简要分析；主要材料单位含量（或造价）的指标分析；现场情况对工程造价不确定性的影响；初步设计图纸工程量的简要复核。</w:t>
      </w:r>
    </w:p>
    <w:p>
      <w:pPr>
        <w:pStyle w:val="67"/>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3）最高报价值、工程变更审核：造价咨询服务机构编审的工程概预算（含最高报价值）、招标工程量清单等应确保结果完整、科学、准确，符合工程项目的实际情况和国家有关工程计价规范，同时应对建设项目的设计方案作出技术经济分析，向委托人提出优化方案和合理化建设。  </w:t>
      </w:r>
    </w:p>
    <w:p>
      <w:pPr>
        <w:pStyle w:val="67"/>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4）结算审核：全面复核工程量；在审核工程竣工结算时必须及时解决结算审核中存在的技术问题，计价原则方法的确定、重大的签证审核、增加工程中综合单价套用定额的复核、新材料、新工艺单价的分析及询价资料；工程索赔资料的分析以及工程管理中的违规行为要及时向县财政局和委托人反映，不得擅自作出处理，要对工程项目的全过程管理依法作出正确的评价。对存在疑问的地方，应深入现场调查取证，逐一核实，按实际情况调整，保证工程造价成果文件的合理性和真实性。  </w:t>
      </w:r>
    </w:p>
    <w:p>
      <w:pPr>
        <w:pStyle w:val="67"/>
        <w:spacing w:line="360" w:lineRule="auto"/>
        <w:rPr>
          <w:rFonts w:hint="eastAsia" w:ascii="宋体" w:hAnsi="宋体" w:eastAsia="宋体" w:cs="宋体"/>
          <w:b/>
          <w:color w:val="auto"/>
          <w:sz w:val="24"/>
        </w:rPr>
      </w:pPr>
      <w:r>
        <w:rPr>
          <w:rFonts w:hint="eastAsia" w:ascii="宋体" w:hAnsi="宋体" w:eastAsia="宋体" w:cs="宋体"/>
          <w:b/>
          <w:color w:val="auto"/>
          <w:sz w:val="24"/>
        </w:rPr>
        <w:t>（三）工作过程资料及成果资料要求的细化（包括但不限于以下内容）</w:t>
      </w:r>
    </w:p>
    <w:p>
      <w:pPr>
        <w:pStyle w:val="67"/>
        <w:spacing w:line="360" w:lineRule="auto"/>
        <w:rPr>
          <w:rFonts w:hint="eastAsia" w:ascii="宋体" w:hAnsi="宋体" w:eastAsia="宋体" w:cs="宋体"/>
          <w:color w:val="auto"/>
          <w:sz w:val="24"/>
        </w:rPr>
      </w:pPr>
      <w:r>
        <w:rPr>
          <w:rFonts w:hint="eastAsia" w:ascii="宋体" w:hAnsi="宋体" w:eastAsia="宋体" w:cs="宋体"/>
          <w:color w:val="auto"/>
          <w:sz w:val="24"/>
        </w:rPr>
        <w:t>① 过程的审核痕迹资料。包括审核过程发现的问题与处理意见，与建设单位、建设单位委托的中介单位、施工单位在协调、取证、对数等过程中提出的问题及处理意见。</w:t>
      </w:r>
    </w:p>
    <w:p>
      <w:pPr>
        <w:pStyle w:val="67"/>
        <w:spacing w:line="360" w:lineRule="auto"/>
        <w:rPr>
          <w:rFonts w:hint="eastAsia" w:ascii="宋体" w:hAnsi="宋体" w:eastAsia="宋体" w:cs="宋体"/>
          <w:color w:val="auto"/>
          <w:sz w:val="24"/>
        </w:rPr>
      </w:pPr>
      <w:r>
        <w:rPr>
          <w:rFonts w:hint="eastAsia" w:ascii="宋体" w:hAnsi="宋体" w:eastAsia="宋体" w:cs="宋体"/>
          <w:color w:val="auto"/>
          <w:sz w:val="24"/>
        </w:rPr>
        <w:t>② 对于技术交底各项要求的响应。</w:t>
      </w:r>
    </w:p>
    <w:p>
      <w:pPr>
        <w:pStyle w:val="67"/>
        <w:spacing w:line="360" w:lineRule="auto"/>
        <w:rPr>
          <w:rFonts w:hint="eastAsia" w:ascii="宋体" w:hAnsi="宋体" w:eastAsia="宋体" w:cs="宋体"/>
          <w:color w:val="auto"/>
          <w:sz w:val="24"/>
        </w:rPr>
      </w:pPr>
      <w:r>
        <w:rPr>
          <w:rFonts w:hint="eastAsia" w:ascii="宋体" w:hAnsi="宋体" w:eastAsia="宋体" w:cs="宋体"/>
          <w:color w:val="auto"/>
          <w:sz w:val="24"/>
        </w:rPr>
        <w:t>③ 审核结果与报送结果差异的分析。应把差异的每项内容列举，并简要分析。</w:t>
      </w:r>
    </w:p>
    <w:p>
      <w:pPr>
        <w:pStyle w:val="67"/>
        <w:spacing w:line="360" w:lineRule="auto"/>
        <w:rPr>
          <w:rFonts w:hint="eastAsia" w:ascii="宋体" w:hAnsi="宋体" w:eastAsia="宋体" w:cs="宋体"/>
          <w:color w:val="auto"/>
          <w:sz w:val="24"/>
        </w:rPr>
      </w:pPr>
      <w:r>
        <w:rPr>
          <w:rFonts w:hint="eastAsia" w:ascii="宋体" w:hAnsi="宋体" w:eastAsia="宋体" w:cs="宋体"/>
          <w:color w:val="auto"/>
          <w:sz w:val="24"/>
        </w:rPr>
        <w:t>④ 工程主要指标分析。</w:t>
      </w:r>
    </w:p>
    <w:p>
      <w:pPr>
        <w:pStyle w:val="67"/>
        <w:spacing w:line="360" w:lineRule="auto"/>
        <w:rPr>
          <w:rFonts w:hint="eastAsia" w:ascii="宋体" w:hAnsi="宋体" w:eastAsia="宋体" w:cs="宋体"/>
          <w:color w:val="auto"/>
          <w:sz w:val="24"/>
        </w:rPr>
      </w:pPr>
      <w:r>
        <w:rPr>
          <w:rFonts w:hint="eastAsia" w:ascii="宋体" w:hAnsi="宋体" w:eastAsia="宋体" w:cs="宋体"/>
          <w:color w:val="auto"/>
          <w:sz w:val="24"/>
        </w:rPr>
        <w:t>⑤ 工程量复核计算稿。</w:t>
      </w:r>
    </w:p>
    <w:p>
      <w:pPr>
        <w:pStyle w:val="67"/>
        <w:spacing w:line="360" w:lineRule="auto"/>
        <w:rPr>
          <w:rFonts w:hint="eastAsia" w:ascii="宋体" w:hAnsi="宋体" w:eastAsia="宋体" w:cs="宋体"/>
          <w:color w:val="auto"/>
          <w:sz w:val="24"/>
        </w:rPr>
      </w:pPr>
      <w:r>
        <w:rPr>
          <w:rFonts w:hint="eastAsia" w:ascii="宋体" w:hAnsi="宋体" w:eastAsia="宋体" w:cs="宋体"/>
          <w:color w:val="auto"/>
          <w:sz w:val="24"/>
        </w:rPr>
        <w:t>⑥ 现场勘察的照片。</w:t>
      </w:r>
    </w:p>
    <w:p>
      <w:pPr>
        <w:pStyle w:val="67"/>
        <w:spacing w:line="360" w:lineRule="auto"/>
        <w:rPr>
          <w:rFonts w:hint="eastAsia" w:ascii="宋体" w:hAnsi="宋体" w:eastAsia="宋体" w:cs="宋体"/>
          <w:color w:val="auto"/>
          <w:sz w:val="24"/>
        </w:rPr>
      </w:pPr>
      <w:r>
        <w:rPr>
          <w:rFonts w:hint="eastAsia" w:ascii="宋体" w:hAnsi="宋体" w:eastAsia="宋体" w:cs="宋体"/>
          <w:color w:val="auto"/>
          <w:sz w:val="24"/>
        </w:rPr>
        <w:t>⑦ 按委托人格式要求提交成果资料（详见附件一）。</w:t>
      </w:r>
    </w:p>
    <w:p>
      <w:pPr>
        <w:pStyle w:val="67"/>
        <w:spacing w:line="360" w:lineRule="auto"/>
        <w:rPr>
          <w:rFonts w:hint="eastAsia" w:ascii="宋体" w:hAnsi="宋体" w:eastAsia="宋体" w:cs="宋体"/>
          <w:color w:val="auto"/>
          <w:sz w:val="24"/>
        </w:rPr>
      </w:pPr>
      <w:r>
        <w:rPr>
          <w:rFonts w:hint="eastAsia" w:ascii="宋体" w:hAnsi="宋体" w:eastAsia="宋体" w:cs="宋体"/>
          <w:color w:val="auto"/>
          <w:sz w:val="24"/>
        </w:rPr>
        <w:t>⑧ 投资估算评审项目应提交相关工程费用明细（造价汇总表）。</w:t>
      </w:r>
    </w:p>
    <w:p>
      <w:pPr>
        <w:pStyle w:val="67"/>
        <w:spacing w:line="360" w:lineRule="auto"/>
        <w:rPr>
          <w:rFonts w:hint="eastAsia" w:ascii="宋体" w:hAnsi="宋体" w:eastAsia="宋体" w:cs="宋体"/>
          <w:b/>
          <w:bCs/>
          <w:color w:val="auto"/>
          <w:sz w:val="24"/>
        </w:rPr>
      </w:pPr>
      <w:r>
        <w:rPr>
          <w:rFonts w:hint="eastAsia" w:ascii="宋体" w:hAnsi="宋体" w:eastAsia="宋体" w:cs="宋体"/>
          <w:b/>
          <w:bCs/>
          <w:color w:val="auto"/>
          <w:sz w:val="24"/>
        </w:rPr>
        <w:t>2.9 收费标准</w:t>
      </w:r>
      <w:bookmarkEnd w:id="12"/>
    </w:p>
    <w:p>
      <w:pPr>
        <w:spacing w:line="360" w:lineRule="auto"/>
        <w:rPr>
          <w:rFonts w:hint="eastAsia" w:ascii="宋体" w:hAnsi="宋体" w:eastAsia="宋体" w:cs="宋体"/>
          <w:color w:val="auto"/>
          <w:sz w:val="24"/>
        </w:rPr>
      </w:pPr>
      <w:bookmarkStart w:id="13" w:name="_Toc354387383"/>
      <w:r>
        <w:rPr>
          <w:rFonts w:hint="eastAsia" w:ascii="宋体" w:hAnsi="宋体" w:eastAsia="宋体" w:cs="宋体"/>
          <w:color w:val="auto"/>
          <w:sz w:val="24"/>
        </w:rPr>
        <w:t>本项目的供应商受理委托报酬计费最高标准为：《广东省建设工程造价咨询服务收费标准》。具体以供应商报价为准。具体计算公式为：《广东省建设工程造价咨询服务收费标准》×（1-供应商所报下浮率）。</w:t>
      </w:r>
    </w:p>
    <w:p>
      <w:pPr>
        <w:pStyle w:val="60"/>
        <w:spacing w:line="360" w:lineRule="auto"/>
        <w:rPr>
          <w:rFonts w:hint="eastAsia" w:ascii="宋体" w:hAnsi="宋体" w:eastAsia="宋体" w:cs="宋体"/>
          <w:b/>
          <w:bCs/>
          <w:color w:val="auto"/>
          <w:sz w:val="24"/>
        </w:rPr>
      </w:pPr>
      <w:r>
        <w:rPr>
          <w:rFonts w:hint="eastAsia" w:ascii="宋体" w:hAnsi="宋体" w:eastAsia="宋体" w:cs="宋体"/>
          <w:b/>
          <w:bCs/>
          <w:color w:val="auto"/>
          <w:sz w:val="24"/>
        </w:rPr>
        <w:t>2.10 考核及奖罚办法</w:t>
      </w:r>
      <w:bookmarkEnd w:id="13"/>
    </w:p>
    <w:p>
      <w:pPr>
        <w:pStyle w:val="60"/>
        <w:spacing w:line="360" w:lineRule="auto"/>
        <w:rPr>
          <w:rFonts w:hint="eastAsia" w:ascii="宋体" w:hAnsi="宋体" w:eastAsia="宋体" w:cs="宋体"/>
          <w:b/>
          <w:color w:val="auto"/>
          <w:sz w:val="24"/>
        </w:rPr>
      </w:pPr>
      <w:r>
        <w:rPr>
          <w:rFonts w:hint="eastAsia" w:ascii="宋体" w:hAnsi="宋体" w:eastAsia="宋体" w:cs="宋体"/>
          <w:b/>
          <w:color w:val="auto"/>
          <w:sz w:val="24"/>
        </w:rPr>
        <w:t>（一）委托审核工作的考核</w:t>
      </w:r>
    </w:p>
    <w:p>
      <w:pPr>
        <w:pStyle w:val="68"/>
        <w:spacing w:line="360" w:lineRule="auto"/>
        <w:rPr>
          <w:rFonts w:hint="eastAsia" w:ascii="宋体" w:hAnsi="宋体" w:eastAsia="宋体" w:cs="宋体"/>
          <w:color w:val="auto"/>
          <w:sz w:val="24"/>
        </w:rPr>
      </w:pPr>
      <w:r>
        <w:rPr>
          <w:rFonts w:hint="eastAsia" w:ascii="宋体" w:hAnsi="宋体" w:eastAsia="宋体" w:cs="宋体"/>
          <w:color w:val="auto"/>
          <w:sz w:val="24"/>
        </w:rPr>
        <w:t>① 考核管理实行单项评审工作考核。按照评审业务统一制定的考核评分标准（见附表二），实行百分制考核。单项委托评审工作考核由</w:t>
      </w:r>
      <w:r>
        <w:rPr>
          <w:rFonts w:hint="eastAsia" w:ascii="宋体" w:hAnsi="宋体"/>
          <w:color w:val="auto"/>
          <w:sz w:val="24"/>
          <w:lang w:eastAsia="zh-CN"/>
        </w:rPr>
        <w:t>郁南县</w:t>
      </w:r>
      <w:r>
        <w:rPr>
          <w:rFonts w:hint="eastAsia" w:ascii="宋体" w:hAnsi="宋体" w:eastAsia="宋体" w:cs="宋体"/>
          <w:color w:val="auto"/>
          <w:sz w:val="24"/>
        </w:rPr>
        <w:t>财政局单项评审工作考核小组负责实施，单项财政评审工作完成，</w:t>
      </w:r>
      <w:r>
        <w:rPr>
          <w:rFonts w:hint="eastAsia" w:ascii="宋体" w:hAnsi="宋体"/>
          <w:color w:val="auto"/>
          <w:sz w:val="24"/>
          <w:lang w:eastAsia="zh-CN"/>
        </w:rPr>
        <w:t>郁南县</w:t>
      </w:r>
      <w:r>
        <w:rPr>
          <w:rFonts w:hint="eastAsia" w:ascii="宋体" w:hAnsi="宋体" w:eastAsia="宋体" w:cs="宋体"/>
          <w:color w:val="auto"/>
          <w:sz w:val="24"/>
        </w:rPr>
        <w:t>财政局出具正式评审报告后5个工作日内完成。考核以每个项目评审情况为依据，结合多方反馈意见，对每一项委托评审项目的审核质量、进度、服务和廉政纪律情况进行考核。</w:t>
      </w:r>
    </w:p>
    <w:p>
      <w:pPr>
        <w:pStyle w:val="68"/>
        <w:spacing w:line="360" w:lineRule="auto"/>
        <w:rPr>
          <w:rFonts w:hint="eastAsia" w:ascii="宋体" w:hAnsi="宋体" w:eastAsia="宋体" w:cs="宋体"/>
          <w:color w:val="auto"/>
          <w:sz w:val="24"/>
        </w:rPr>
      </w:pPr>
      <w:r>
        <w:rPr>
          <w:rFonts w:hint="eastAsia" w:ascii="宋体" w:hAnsi="宋体" w:eastAsia="宋体" w:cs="宋体"/>
          <w:color w:val="auto"/>
          <w:sz w:val="24"/>
        </w:rPr>
        <w:t>② 单项委托评审工作考核得分作为定点服务供应商委托审核工作质量的评定依据。百分制考核标准中，90分（含本数）以上为优秀，60分以下为不合格。</w:t>
      </w:r>
    </w:p>
    <w:p>
      <w:pPr>
        <w:pStyle w:val="68"/>
        <w:spacing w:line="360" w:lineRule="auto"/>
        <w:rPr>
          <w:rFonts w:hint="eastAsia" w:ascii="宋体" w:hAnsi="宋体" w:eastAsia="宋体" w:cs="宋体"/>
          <w:color w:val="auto"/>
          <w:sz w:val="24"/>
        </w:rPr>
      </w:pPr>
      <w:r>
        <w:rPr>
          <w:rFonts w:hint="eastAsia" w:ascii="宋体" w:hAnsi="宋体" w:eastAsia="宋体" w:cs="宋体"/>
          <w:color w:val="auto"/>
          <w:sz w:val="24"/>
        </w:rPr>
        <w:t>③ 考核结果由县财政局存档备案，在以后的政府投资基本建设项目财政评审政府采购招标中，作为服务质量的依据。</w:t>
      </w:r>
    </w:p>
    <w:p>
      <w:pPr>
        <w:pStyle w:val="60"/>
        <w:spacing w:line="360" w:lineRule="auto"/>
        <w:rPr>
          <w:rFonts w:hint="eastAsia" w:ascii="宋体" w:hAnsi="宋体" w:eastAsia="宋体" w:cs="宋体"/>
          <w:b/>
          <w:color w:val="auto"/>
          <w:sz w:val="24"/>
        </w:rPr>
      </w:pPr>
      <w:r>
        <w:rPr>
          <w:rFonts w:hint="eastAsia" w:ascii="宋体" w:hAnsi="宋体" w:eastAsia="宋体" w:cs="宋体"/>
          <w:b/>
          <w:color w:val="auto"/>
          <w:sz w:val="24"/>
        </w:rPr>
        <w:t>（二）奖罚办法</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2.1 为加强对工程造价咨询服务机构的造价咨询服务质量的监督，委托人可委托县财政局根据实际情况计算主观差错率。主观差错率是指工程造价咨询服务机构主观原因而造成的差错金额与最后定案金额对比计算的差错率。以下情况属工程造价咨询服务机构主观原因造成的差错：</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① 图纸或签证资料不清晰或互相矛盾的地方未经核实，以暂估工程量或签证工程量或送审工程量计算而引起的偏差。</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② 错套定额或计费程序错误。</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③ 重复计价，如：多计招标文件和合同约定包干的项目、重复计算工程量清单或定额子目包含的工作内容或项目、多计重复的签证、变更工程等。</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④ 工程清单中出现工程量计算错误、虚列项目、漏项漏量。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⑤ 材料价格未按招标文件、合同要求计价或未通过询价而自行估价引起的偏差超过材料价格 5%。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⑥ 无定额可套且未对工艺进行核实而自行估价导致的工程造价偏差超过该单位工程造价 10%或超过本次编审总造价的 2‰。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⑦ 已计算签证或变更增加工程，但未扣减对应的减少工程（无论须扣减的对应减少工程有无签证）。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⑧ 编审资料与实际施工不符，且现场查勘明显可以发现的减少工程项目而未扣减的。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⑨ 其它计算错误，如：点错小数点、汇总错误等。</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如造价咨询服务机构对主观差错率的计算有争议，可向</w:t>
      </w:r>
      <w:r>
        <w:rPr>
          <w:rFonts w:hint="eastAsia" w:ascii="宋体" w:hAnsi="宋体"/>
          <w:color w:val="auto"/>
          <w:sz w:val="24"/>
          <w:lang w:eastAsia="zh-CN"/>
        </w:rPr>
        <w:t>郁南县</w:t>
      </w:r>
      <w:r>
        <w:rPr>
          <w:rFonts w:hint="eastAsia" w:ascii="宋体" w:hAnsi="宋体" w:eastAsia="宋体" w:cs="宋体"/>
          <w:color w:val="auto"/>
          <w:sz w:val="24"/>
        </w:rPr>
        <w:t xml:space="preserve">建设工程造价管理站申请复核。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2.2  在从事造价咨询服务过程中，如发现造价咨询服务机构有以下行为之一，委托人应当向县财局反映，由县财政局取消造价咨询服务机构从事</w:t>
      </w:r>
      <w:r>
        <w:rPr>
          <w:rFonts w:hint="eastAsia" w:ascii="宋体" w:hAnsi="宋体"/>
          <w:color w:val="auto"/>
          <w:sz w:val="24"/>
          <w:lang w:eastAsia="zh-CN"/>
        </w:rPr>
        <w:t>郁南县</w:t>
      </w:r>
      <w:r>
        <w:rPr>
          <w:rFonts w:hint="eastAsia" w:ascii="宋体" w:hAnsi="宋体" w:eastAsia="宋体" w:cs="宋体"/>
          <w:color w:val="auto"/>
          <w:sz w:val="24"/>
        </w:rPr>
        <w:t>县财政性投资项目工程造价咨询服务，并责成其赔偿经济损失，严重的可取消定点服务供应资格及依法追究其刑事责任。</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① 提供虚假信息，误导或欺骗委托人，以谋取非法利益。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② 违反了诚实信用和投标承诺，没有严格执行相关质量、服务和收费标准，损害委托人或相关用户单位利益。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③ 拒绝接受委托人及相关部门监督、检查。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④ 出现信用危机、财务危机、生产经营危机甚至破产、倒闭、无法继续履行造价咨询服务。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⑤ 采用非法手段进行不正当竞争，构成恶劣影响。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⑥ 工程造价咨询资质被降级或吊销的。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2.3  造价咨询服务机构对委托人或第三人所提出的问题不能及时核对或答复，导致咨询合同不能全部或部分履行，造价咨询服务机构应承担违约责任。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2.4  在从事造价咨询服务过程中，如发现造价咨询服务机构未经委托人同意擅自接受第三方提供的资料，每次扣除1000 元违约金。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2.5  造价咨询服务机构在提交造价咨询服务成果文件初稿前，应提出需补充资料的要求。造价咨询服务成果文件初稿提交后，委托人或审核单位发现造价咨询编审服务的依据资料不完整需相关单位补充时，由此造成造价咨询服务未能按规定时间完成的，造价咨询服务机构承担违约责任，并按2.6的约定处理。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2.6 造价咨询服务机构因自身原因未能按规定时限完成造价咨询服务，由委托人以书面通知县财政局由其作如下处理：  </w:t>
      </w:r>
      <w:r>
        <w:rPr>
          <w:rFonts w:hint="eastAsia" w:ascii="宋体" w:hAnsi="宋体" w:eastAsia="宋体" w:cs="宋体"/>
          <w:color w:val="auto"/>
          <w:sz w:val="24"/>
        </w:rPr>
        <w:cr/>
      </w:r>
      <w:r>
        <w:rPr>
          <w:rFonts w:hint="eastAsia" w:ascii="宋体" w:hAnsi="宋体" w:eastAsia="宋体" w:cs="宋体"/>
          <w:color w:val="auto"/>
          <w:sz w:val="24"/>
        </w:rPr>
        <w:t xml:space="preserve">① 造价咨询服务机构逾期不能提交成果报告的，每逾期一天，扣减协议咨询服务酬金的 2%。  </w:t>
      </w:r>
      <w:r>
        <w:rPr>
          <w:rFonts w:hint="eastAsia" w:ascii="宋体" w:hAnsi="宋体" w:eastAsia="宋体" w:cs="宋体"/>
          <w:color w:val="auto"/>
          <w:sz w:val="24"/>
        </w:rPr>
        <w:cr/>
      </w:r>
      <w:r>
        <w:rPr>
          <w:rFonts w:hint="eastAsia" w:ascii="宋体" w:hAnsi="宋体" w:eastAsia="宋体" w:cs="宋体"/>
          <w:color w:val="auto"/>
          <w:sz w:val="24"/>
        </w:rPr>
        <w:t xml:space="preserve">② 若造价咨询服务机构逾期 10 天不能提交成果报告的，不支付全部咨询服务酬金，并要求赔偿因此给委托人造成其他损失的权利。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2.7  造价咨询服务机构的编审结果出现主观差错，由县财政投资审核中心书面通知县财政局并由其根据其主观差错率（以下简称差错率，差错率=政府相关审核部门对单项造价成果审核过程中发现的累计错误金额/单项造价成果金额；单项造价成果中同一子项经多部门审核发现错误时，按最大错误金额累计）的大小作如下处理： </w:t>
      </w:r>
    </w:p>
    <w:p>
      <w:pPr>
        <w:pStyle w:val="69"/>
        <w:spacing w:line="360" w:lineRule="auto"/>
        <w:rPr>
          <w:rFonts w:hint="eastAsia" w:ascii="宋体" w:hAnsi="宋体" w:eastAsia="宋体" w:cs="宋体"/>
          <w:b/>
          <w:bCs/>
          <w:color w:val="auto"/>
          <w:sz w:val="24"/>
          <w:highlight w:val="none"/>
        </w:rPr>
      </w:pPr>
      <w:r>
        <w:rPr>
          <w:rFonts w:hint="eastAsia" w:ascii="宋体" w:hAnsi="宋体" w:eastAsia="宋体" w:cs="宋体"/>
          <w:b/>
          <w:bCs/>
          <w:color w:val="auto"/>
          <w:sz w:val="24"/>
          <w:highlight w:val="none"/>
        </w:rPr>
        <w:t>概算、预算（含最高报价值、招标工程量清单）及进度款：</w:t>
      </w:r>
    </w:p>
    <w:p>
      <w:pPr>
        <w:pStyle w:val="69"/>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① 差错率在 3%—5%以内的，如非故意行为造成的，造价咨询服务机构应向委托人提出书面整改措施，否则，扣除咨询服务酬金的 12%。  </w:t>
      </w:r>
    </w:p>
    <w:p>
      <w:pPr>
        <w:pStyle w:val="69"/>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② 5%＜差错率≤8%，扣除咨询服务酬金的 20%。  </w:t>
      </w:r>
      <w:r>
        <w:rPr>
          <w:rFonts w:hint="eastAsia" w:ascii="宋体" w:hAnsi="宋体" w:eastAsia="宋体" w:cs="宋体"/>
          <w:color w:val="auto"/>
          <w:sz w:val="24"/>
          <w:highlight w:val="none"/>
        </w:rPr>
        <w:cr/>
      </w:r>
      <w:r>
        <w:rPr>
          <w:rFonts w:hint="eastAsia" w:ascii="宋体" w:hAnsi="宋体" w:eastAsia="宋体" w:cs="宋体"/>
          <w:color w:val="auto"/>
          <w:sz w:val="24"/>
          <w:highlight w:val="none"/>
        </w:rPr>
        <w:t xml:space="preserve">③ 8%＜差错率≤10%，扣除咨询服务酬金的 50%。  </w:t>
      </w:r>
      <w:r>
        <w:rPr>
          <w:rFonts w:hint="eastAsia" w:ascii="宋体" w:hAnsi="宋体" w:eastAsia="宋体" w:cs="宋体"/>
          <w:color w:val="auto"/>
          <w:sz w:val="24"/>
          <w:highlight w:val="none"/>
        </w:rPr>
        <w:cr/>
      </w:r>
      <w:r>
        <w:rPr>
          <w:rFonts w:hint="eastAsia" w:ascii="宋体" w:hAnsi="宋体" w:eastAsia="宋体" w:cs="宋体"/>
          <w:color w:val="auto"/>
          <w:sz w:val="24"/>
          <w:highlight w:val="none"/>
        </w:rPr>
        <w:t xml:space="preserve">④ 差错率＞10%，扣除咨询服务酬金的 100%。  </w:t>
      </w:r>
      <w:r>
        <w:rPr>
          <w:rFonts w:hint="eastAsia" w:ascii="宋体" w:hAnsi="宋体" w:eastAsia="宋体" w:cs="宋体"/>
          <w:color w:val="auto"/>
          <w:sz w:val="24"/>
          <w:highlight w:val="none"/>
        </w:rPr>
        <w:cr/>
      </w:r>
      <w:r>
        <w:rPr>
          <w:rFonts w:hint="eastAsia" w:ascii="宋体" w:hAnsi="宋体" w:eastAsia="宋体" w:cs="宋体"/>
          <w:b/>
          <w:bCs/>
          <w:color w:val="auto"/>
          <w:sz w:val="24"/>
          <w:highlight w:val="none"/>
        </w:rPr>
        <w:t xml:space="preserve">工程竣工结算：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highlight w:val="none"/>
        </w:rPr>
        <w:t xml:space="preserve">① 3%＜差错率≤5%，扣除咨询服务酬金的 20%。  </w:t>
      </w:r>
      <w:r>
        <w:rPr>
          <w:rFonts w:hint="eastAsia" w:ascii="宋体" w:hAnsi="宋体" w:eastAsia="宋体" w:cs="宋体"/>
          <w:color w:val="auto"/>
          <w:sz w:val="24"/>
          <w:highlight w:val="none"/>
        </w:rPr>
        <w:cr/>
      </w:r>
      <w:r>
        <w:rPr>
          <w:rFonts w:hint="eastAsia" w:ascii="宋体" w:hAnsi="宋体" w:eastAsia="宋体" w:cs="宋体"/>
          <w:color w:val="auto"/>
          <w:sz w:val="24"/>
          <w:highlight w:val="none"/>
        </w:rPr>
        <w:t xml:space="preserve">② 5%＜差错率≤8%，扣除咨询服务酬金的 50%。  </w:t>
      </w:r>
      <w:r>
        <w:rPr>
          <w:rFonts w:hint="eastAsia" w:ascii="宋体" w:hAnsi="宋体" w:eastAsia="宋体" w:cs="宋体"/>
          <w:color w:val="auto"/>
          <w:sz w:val="24"/>
          <w:highlight w:val="none"/>
        </w:rPr>
        <w:cr/>
      </w:r>
      <w:r>
        <w:rPr>
          <w:rFonts w:hint="eastAsia" w:ascii="宋体" w:hAnsi="宋体" w:eastAsia="宋体" w:cs="宋体"/>
          <w:color w:val="auto"/>
          <w:sz w:val="24"/>
          <w:highlight w:val="none"/>
        </w:rPr>
        <w:t xml:space="preserve">③ 8%＜差错率≤10%，扣除咨询服务酬金的 80%。  </w:t>
      </w:r>
      <w:r>
        <w:rPr>
          <w:rFonts w:hint="eastAsia" w:ascii="宋体" w:hAnsi="宋体" w:eastAsia="宋体" w:cs="宋体"/>
          <w:color w:val="auto"/>
          <w:sz w:val="24"/>
          <w:highlight w:val="none"/>
        </w:rPr>
        <w:cr/>
      </w:r>
      <w:r>
        <w:rPr>
          <w:rFonts w:hint="eastAsia" w:ascii="宋体" w:hAnsi="宋体" w:eastAsia="宋体" w:cs="宋体"/>
          <w:color w:val="auto"/>
          <w:sz w:val="24"/>
          <w:highlight w:val="none"/>
        </w:rPr>
        <w:t xml:space="preserve">④ 差错率＞10%，扣除咨询服务酬金的 100%。  </w:t>
      </w:r>
      <w:r>
        <w:rPr>
          <w:rFonts w:hint="eastAsia" w:ascii="宋体" w:hAnsi="宋体" w:eastAsia="宋体" w:cs="宋体"/>
          <w:color w:val="auto"/>
          <w:sz w:val="24"/>
          <w:highlight w:val="none"/>
        </w:rPr>
        <w:cr/>
      </w:r>
      <w:r>
        <w:rPr>
          <w:rFonts w:hint="eastAsia" w:ascii="宋体" w:hAnsi="宋体" w:eastAsia="宋体" w:cs="宋体"/>
          <w:color w:val="auto"/>
          <w:sz w:val="24"/>
          <w:highlight w:val="none"/>
        </w:rPr>
        <w:t>⑤ 差错率≤3%，但子项失误超过10万元（含）以上的项目，每出现一处扣委托费的2%。</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2.8  在从事造价咨询服务过程中，如发现造价咨询服务机构的专业人员没有在县财政局（政府采购监管股）进行备案或冒名顶替的，由县财政局作如下处理：</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① 第一次发现，给予造价咨询服务机构书面警告，并要求其支付每人次 500 元的违约金。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② 第二次发现，给予造价咨询服务机构暂停分配任务一次，并要求其支付每人次 1000 元的违约金。  </w:t>
      </w:r>
      <w:r>
        <w:rPr>
          <w:rFonts w:hint="eastAsia" w:ascii="宋体" w:hAnsi="宋体" w:eastAsia="宋体" w:cs="宋体"/>
          <w:color w:val="auto"/>
          <w:sz w:val="24"/>
        </w:rPr>
        <w:cr/>
      </w:r>
      <w:r>
        <w:rPr>
          <w:rFonts w:hint="eastAsia" w:ascii="宋体" w:hAnsi="宋体" w:eastAsia="宋体" w:cs="宋体"/>
          <w:color w:val="auto"/>
          <w:sz w:val="24"/>
        </w:rPr>
        <w:t>③ 第三次发现，给予造价咨询服务机构暂停分配任务三个月，并要求其支付每人次 2000 元的违约金。</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2.9  在从事造价咨询服务过程中，如属委托人原因导致终止咨询协议，委托人向造价咨询服务机构支付违约金</w:t>
      </w:r>
      <w:r>
        <w:rPr>
          <w:rFonts w:hint="eastAsia" w:ascii="宋体" w:hAnsi="宋体" w:eastAsia="宋体" w:cs="宋体"/>
          <w:color w:val="auto"/>
          <w:sz w:val="24"/>
          <w:highlight w:val="none"/>
        </w:rPr>
        <w:t>10万元</w:t>
      </w:r>
      <w:r>
        <w:rPr>
          <w:rFonts w:hint="eastAsia" w:ascii="宋体" w:hAnsi="宋体" w:eastAsia="宋体" w:cs="宋体"/>
          <w:color w:val="auto"/>
          <w:sz w:val="24"/>
        </w:rPr>
        <w:t>；如属造价咨询服务机构原因导致终止咨询协议，造价咨询服务机构向委托人支付 违约金</w:t>
      </w:r>
      <w:r>
        <w:rPr>
          <w:rFonts w:hint="eastAsia" w:ascii="宋体" w:hAnsi="宋体" w:eastAsia="宋体" w:cs="宋体"/>
          <w:color w:val="auto"/>
          <w:sz w:val="24"/>
          <w:highlight w:val="none"/>
        </w:rPr>
        <w:t>10万元</w:t>
      </w:r>
      <w:r>
        <w:rPr>
          <w:rFonts w:hint="eastAsia" w:ascii="宋体" w:hAnsi="宋体" w:eastAsia="宋体" w:cs="宋体"/>
          <w:color w:val="auto"/>
          <w:sz w:val="24"/>
        </w:rPr>
        <w:t>。</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2.10  造价咨询服务机构不能拖欠 “驻场服务”人员的工资，如发现存在拖欠工资行为的，委托人可按该机构工资发放标准直接发给编审人员，然后在支付给该机构咨询费用结算中抵扣。</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2.11 在从事造价咨询服务过程中，委托人和县财政局应对造价咨询服务机构的进度与质量进行监督。如发现造价咨询服务机构有存在质量、进度等情况，委托人及有关当事人应及时书面通知县财政局，由县财政局按本办法的规定进行处理。发现造价咨询服务机构的从业人员存在以下情形的，由县财政局取消该从业人员的备案，该从业人员在两年内不得从事县财政性资金投资建设项目的工程造价咨询服务；情节严重的，不得从事县财政性资金投资建设项目的工程造价咨询服务。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① 根据第2.6条的规定，造价咨询服务机构同一从业人员由于评审进度原因，一年内有两个或两个以上项目被处理的。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② 根据第2.7条的规定，造价咨询服务机构同一从业人员由于评审质量原因，一年内有两个或两个以上项目被处理的。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③ 根据第2.8条的规定，造价咨询服务机构同一从业人员由于资格原因，一年内有两个或两个以上项目被处理的。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④ 造价咨询服务机构从业人员由于廉政或职业操守原因，被处理的。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⑤ 造价咨询服务机构同一从业人员由于擅自接收第三方资料的原因，或者造价咨询服务机构同一从业人员由于擅自与第三方联系，一年内有两个或两个以上项目被处理的。  </w:t>
      </w:r>
      <w:r>
        <w:rPr>
          <w:rFonts w:hint="eastAsia" w:ascii="宋体" w:hAnsi="宋体" w:eastAsia="宋体" w:cs="宋体"/>
          <w:color w:val="auto"/>
          <w:sz w:val="24"/>
        </w:rPr>
        <w:cr/>
      </w:r>
      <w:r>
        <w:rPr>
          <w:rFonts w:hint="eastAsia" w:ascii="宋体" w:hAnsi="宋体" w:eastAsia="宋体" w:cs="宋体"/>
          <w:color w:val="auto"/>
          <w:sz w:val="24"/>
        </w:rPr>
        <w:t xml:space="preserve">⑥ 造价咨询服务机构从业人员被相关行政主管部门处罚的。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⑦ 造价咨询服务机构备案从业人员涉足黄赌毒等违法活动被公安部门等执法部门处罚的。  </w:t>
      </w:r>
    </w:p>
    <w:p>
      <w:pPr>
        <w:pStyle w:val="69"/>
        <w:spacing w:line="360" w:lineRule="auto"/>
        <w:rPr>
          <w:rFonts w:hint="eastAsia" w:ascii="宋体" w:hAnsi="宋体" w:eastAsia="宋体" w:cs="宋体"/>
          <w:color w:val="auto"/>
          <w:sz w:val="24"/>
        </w:rPr>
      </w:pPr>
      <w:r>
        <w:rPr>
          <w:rFonts w:hint="eastAsia" w:ascii="宋体" w:hAnsi="宋体" w:eastAsia="宋体" w:cs="宋体"/>
          <w:color w:val="auto"/>
          <w:sz w:val="24"/>
        </w:rPr>
        <w:t xml:space="preserve">⑧ 造价咨询服务机构备案从业人员被依法追究刑事责任的。 </w:t>
      </w:r>
    </w:p>
    <w:p>
      <w:pPr>
        <w:pStyle w:val="60"/>
        <w:spacing w:line="360" w:lineRule="auto"/>
        <w:ind w:left="178" w:leftChars="85"/>
        <w:rPr>
          <w:rFonts w:hint="eastAsia" w:ascii="宋体" w:hAnsi="宋体" w:eastAsia="宋体" w:cs="宋体"/>
          <w:color w:val="auto"/>
          <w:sz w:val="24"/>
        </w:rPr>
      </w:pPr>
    </w:p>
    <w:p>
      <w:pPr>
        <w:pStyle w:val="60"/>
        <w:spacing w:line="360" w:lineRule="auto"/>
        <w:ind w:left="178" w:leftChars="85"/>
        <w:rPr>
          <w:rFonts w:hint="eastAsia" w:ascii="宋体" w:hAnsi="宋体"/>
          <w:color w:val="auto"/>
          <w:sz w:val="24"/>
        </w:rPr>
      </w:pPr>
    </w:p>
    <w:p>
      <w:pPr>
        <w:pStyle w:val="60"/>
        <w:spacing w:line="360" w:lineRule="auto"/>
        <w:ind w:left="178" w:leftChars="85"/>
        <w:rPr>
          <w:rFonts w:hint="eastAsia" w:ascii="宋体" w:hAnsi="宋体"/>
          <w:color w:val="auto"/>
          <w:sz w:val="24"/>
        </w:rPr>
      </w:pPr>
    </w:p>
    <w:p>
      <w:pPr>
        <w:pStyle w:val="60"/>
        <w:spacing w:line="360" w:lineRule="auto"/>
        <w:rPr>
          <w:rFonts w:hint="eastAsia" w:ascii="宋体" w:hAnsi="宋体"/>
          <w:color w:val="auto"/>
          <w:sz w:val="28"/>
        </w:rPr>
      </w:pPr>
      <w:r>
        <w:rPr>
          <w:rFonts w:ascii="宋体" w:hAnsi="宋体"/>
          <w:b/>
          <w:color w:val="auto"/>
          <w:sz w:val="24"/>
        </w:rPr>
        <w:br w:type="page"/>
      </w:r>
      <w:r>
        <w:rPr>
          <w:rFonts w:hint="eastAsia" w:ascii="宋体" w:hAnsi="宋体"/>
          <w:b/>
          <w:color w:val="auto"/>
          <w:sz w:val="28"/>
        </w:rPr>
        <w:t>附件一</w:t>
      </w:r>
      <w:r>
        <w:rPr>
          <w:rFonts w:hint="eastAsia" w:ascii="宋体" w:hAnsi="宋体"/>
          <w:b/>
          <w:color w:val="auto"/>
          <w:kern w:val="0"/>
          <w:sz w:val="28"/>
        </w:rPr>
        <w:t>：</w:t>
      </w:r>
    </w:p>
    <w:p>
      <w:pPr>
        <w:pStyle w:val="60"/>
        <w:spacing w:line="360" w:lineRule="auto"/>
        <w:ind w:left="178" w:leftChars="85"/>
        <w:jc w:val="center"/>
        <w:rPr>
          <w:rFonts w:hint="eastAsia" w:ascii="宋体" w:hAnsi="宋体"/>
          <w:b/>
          <w:color w:val="auto"/>
          <w:kern w:val="0"/>
          <w:sz w:val="28"/>
        </w:rPr>
      </w:pPr>
      <w:r>
        <w:rPr>
          <w:rFonts w:hint="eastAsia" w:ascii="宋体" w:hAnsi="宋体"/>
          <w:b/>
          <w:bCs/>
          <w:color w:val="auto"/>
          <w:sz w:val="30"/>
          <w:szCs w:val="32"/>
          <w:u w:val="none"/>
          <w:lang w:eastAsia="zh-CN"/>
        </w:rPr>
        <w:t>郁南</w:t>
      </w:r>
      <w:r>
        <w:rPr>
          <w:rFonts w:hint="eastAsia" w:ascii="宋体" w:hAnsi="宋体"/>
          <w:b/>
          <w:color w:val="auto"/>
          <w:kern w:val="0"/>
          <w:sz w:val="28"/>
        </w:rPr>
        <w:t>县财政投资评审审核报告文本规范要求</w:t>
      </w:r>
    </w:p>
    <w:p>
      <w:pPr>
        <w:pStyle w:val="60"/>
        <w:spacing w:line="360" w:lineRule="auto"/>
        <w:ind w:left="178" w:leftChars="85"/>
        <w:jc w:val="center"/>
        <w:rPr>
          <w:rFonts w:hint="eastAsia" w:ascii="宋体" w:hAnsi="宋体"/>
          <w:b/>
          <w:color w:val="auto"/>
          <w:kern w:val="0"/>
          <w:sz w:val="24"/>
        </w:rPr>
      </w:pPr>
      <w:r>
        <w:rPr>
          <w:rFonts w:hint="eastAsia" w:ascii="宋体" w:hAnsi="宋体"/>
          <w:color w:val="auto"/>
          <w:sz w:val="24"/>
          <w:szCs w:val="21"/>
        </w:rPr>
        <w:t>（必须包含但不限于以下内容，封面不限）</w:t>
      </w:r>
    </w:p>
    <w:p>
      <w:pPr>
        <w:pStyle w:val="60"/>
        <w:spacing w:line="360" w:lineRule="auto"/>
        <w:ind w:left="178" w:leftChars="85"/>
        <w:jc w:val="center"/>
        <w:rPr>
          <w:rFonts w:hint="eastAsia" w:ascii="宋体" w:hAnsi="宋体"/>
          <w:color w:val="auto"/>
          <w:sz w:val="24"/>
        </w:rPr>
      </w:pPr>
      <w:r>
        <w:rPr>
          <w:rFonts w:hint="eastAsia" w:ascii="宋体" w:hAnsi="宋体"/>
          <w:color w:val="auto"/>
          <w:sz w:val="24"/>
        </w:rPr>
        <w:t>标题：写明工程名称及何阶段的审核报告</w:t>
      </w:r>
    </w:p>
    <w:p>
      <w:pPr>
        <w:pStyle w:val="60"/>
        <w:spacing w:line="360" w:lineRule="auto"/>
        <w:ind w:left="178" w:leftChars="85"/>
        <w:rPr>
          <w:rFonts w:hint="eastAsia" w:ascii="宋体" w:hAnsi="宋体"/>
          <w:b/>
          <w:color w:val="auto"/>
          <w:sz w:val="24"/>
        </w:rPr>
      </w:pPr>
      <w:r>
        <w:rPr>
          <w:rFonts w:hint="eastAsia" w:ascii="宋体" w:hAnsi="宋体"/>
          <w:b/>
          <w:color w:val="auto"/>
          <w:sz w:val="24"/>
        </w:rPr>
        <w:t>一、工程概况</w:t>
      </w:r>
    </w:p>
    <w:p>
      <w:pPr>
        <w:pStyle w:val="60"/>
        <w:spacing w:line="360" w:lineRule="auto"/>
        <w:ind w:left="178" w:leftChars="85" w:firstLine="480" w:firstLineChars="200"/>
        <w:rPr>
          <w:rFonts w:hint="eastAsia" w:ascii="宋体" w:hAnsi="宋体"/>
          <w:color w:val="auto"/>
          <w:sz w:val="24"/>
        </w:rPr>
      </w:pPr>
      <w:r>
        <w:rPr>
          <w:rFonts w:hint="eastAsia" w:ascii="宋体" w:hAnsi="宋体"/>
          <w:color w:val="auto"/>
          <w:sz w:val="24"/>
        </w:rPr>
        <w:t>要求将工程的建筑面积、层数、结构以及重要的外部内部特征、与工程造价相关的指标数字描述清楚。</w:t>
      </w:r>
    </w:p>
    <w:p>
      <w:pPr>
        <w:pStyle w:val="60"/>
        <w:spacing w:line="360" w:lineRule="auto"/>
        <w:ind w:left="178" w:leftChars="85"/>
        <w:rPr>
          <w:rFonts w:hint="eastAsia" w:ascii="宋体" w:hAnsi="宋体"/>
          <w:b/>
          <w:color w:val="auto"/>
          <w:sz w:val="24"/>
        </w:rPr>
      </w:pPr>
      <w:r>
        <w:rPr>
          <w:rFonts w:hint="eastAsia" w:ascii="宋体" w:hAnsi="宋体"/>
          <w:b/>
          <w:color w:val="auto"/>
          <w:sz w:val="24"/>
        </w:rPr>
        <w:t>二、工作内容（技术交底内容）</w:t>
      </w:r>
    </w:p>
    <w:p>
      <w:pPr>
        <w:pStyle w:val="60"/>
        <w:spacing w:line="360" w:lineRule="auto"/>
        <w:ind w:left="178" w:leftChars="85" w:firstLine="480" w:firstLineChars="200"/>
        <w:rPr>
          <w:rFonts w:hint="eastAsia" w:ascii="宋体" w:hAnsi="宋体"/>
          <w:color w:val="auto"/>
          <w:sz w:val="24"/>
        </w:rPr>
      </w:pPr>
      <w:r>
        <w:rPr>
          <w:rFonts w:hint="eastAsia" w:ascii="宋体" w:hAnsi="宋体"/>
          <w:color w:val="auto"/>
          <w:sz w:val="24"/>
        </w:rPr>
        <w:t>工作内容可以根据技术交底及具体工作内容编写。要求写得具体明了。</w:t>
      </w:r>
    </w:p>
    <w:p>
      <w:pPr>
        <w:pStyle w:val="60"/>
        <w:spacing w:line="360" w:lineRule="auto"/>
        <w:ind w:left="178" w:leftChars="85"/>
        <w:rPr>
          <w:rFonts w:hint="eastAsia" w:ascii="宋体" w:hAnsi="宋体"/>
          <w:b/>
          <w:color w:val="auto"/>
          <w:sz w:val="24"/>
        </w:rPr>
      </w:pPr>
      <w:r>
        <w:rPr>
          <w:rFonts w:hint="eastAsia" w:ascii="宋体" w:hAnsi="宋体"/>
          <w:b/>
          <w:color w:val="auto"/>
          <w:sz w:val="24"/>
        </w:rPr>
        <w:t>三、审核依据：（可以根据具体内容编制）</w:t>
      </w:r>
    </w:p>
    <w:p>
      <w:pPr>
        <w:pStyle w:val="60"/>
        <w:spacing w:line="360" w:lineRule="auto"/>
        <w:ind w:left="178" w:leftChars="85" w:firstLine="480" w:firstLineChars="200"/>
        <w:rPr>
          <w:rFonts w:hint="eastAsia" w:ascii="宋体" w:hAnsi="宋体"/>
          <w:color w:val="auto"/>
          <w:sz w:val="24"/>
        </w:rPr>
      </w:pPr>
      <w:r>
        <w:rPr>
          <w:rFonts w:hint="eastAsia" w:ascii="宋体" w:hAnsi="宋体"/>
          <w:color w:val="auto"/>
          <w:sz w:val="24"/>
        </w:rPr>
        <w:t>审核依据包括工程量清单计价依据、计价办法、消耗量参考定额、施工图纸（要求注明图号）、材料价格参考依据以及计费程序依据等。</w:t>
      </w:r>
    </w:p>
    <w:p>
      <w:pPr>
        <w:pStyle w:val="60"/>
        <w:spacing w:line="360" w:lineRule="auto"/>
        <w:ind w:left="178" w:leftChars="85"/>
        <w:rPr>
          <w:rFonts w:hint="eastAsia" w:ascii="宋体" w:hAnsi="宋体"/>
          <w:b/>
          <w:color w:val="auto"/>
          <w:sz w:val="24"/>
        </w:rPr>
      </w:pPr>
      <w:r>
        <w:rPr>
          <w:rFonts w:hint="eastAsia" w:ascii="宋体" w:hAnsi="宋体"/>
          <w:b/>
          <w:color w:val="auto"/>
          <w:sz w:val="24"/>
        </w:rPr>
        <w:t>四、审核说明（可以根据具体内容编制）</w:t>
      </w:r>
    </w:p>
    <w:p>
      <w:pPr>
        <w:pStyle w:val="60"/>
        <w:spacing w:line="360" w:lineRule="auto"/>
        <w:ind w:left="178" w:leftChars="85" w:firstLine="480" w:firstLineChars="200"/>
        <w:rPr>
          <w:rFonts w:hint="eastAsia" w:ascii="宋体" w:hAnsi="宋体"/>
          <w:color w:val="auto"/>
          <w:sz w:val="24"/>
        </w:rPr>
      </w:pPr>
      <w:r>
        <w:rPr>
          <w:rFonts w:hint="eastAsia" w:ascii="宋体" w:hAnsi="宋体"/>
          <w:color w:val="auto"/>
          <w:sz w:val="24"/>
        </w:rPr>
        <w:t>审核说明工程管理费、利润的计费标准及费率。安全防护、文明施工措施费以及规费执行标准、主材价格等其他需要说明的问题。</w:t>
      </w:r>
    </w:p>
    <w:p>
      <w:pPr>
        <w:pStyle w:val="60"/>
        <w:spacing w:line="360" w:lineRule="auto"/>
        <w:ind w:left="178" w:leftChars="85"/>
        <w:rPr>
          <w:rFonts w:hint="eastAsia" w:ascii="宋体" w:hAnsi="宋体"/>
          <w:b/>
          <w:color w:val="auto"/>
          <w:sz w:val="24"/>
        </w:rPr>
      </w:pPr>
      <w:r>
        <w:rPr>
          <w:rFonts w:hint="eastAsia" w:ascii="宋体" w:hAnsi="宋体"/>
          <w:b/>
          <w:color w:val="auto"/>
          <w:sz w:val="24"/>
        </w:rPr>
        <w:t>五、审核结果</w:t>
      </w:r>
    </w:p>
    <w:p>
      <w:pPr>
        <w:pStyle w:val="60"/>
        <w:spacing w:line="360" w:lineRule="auto"/>
        <w:ind w:left="178" w:leftChars="85" w:firstLine="480" w:firstLineChars="200"/>
        <w:rPr>
          <w:rFonts w:hint="eastAsia" w:ascii="宋体" w:hAnsi="宋体"/>
          <w:color w:val="auto"/>
          <w:sz w:val="24"/>
        </w:rPr>
      </w:pPr>
      <w:r>
        <w:rPr>
          <w:rFonts w:hint="eastAsia" w:ascii="宋体" w:hAnsi="宋体"/>
          <w:color w:val="auto"/>
          <w:sz w:val="24"/>
        </w:rPr>
        <w:t>要求将送审金额、审核金额及核减额总结性写出。</w:t>
      </w:r>
    </w:p>
    <w:p>
      <w:pPr>
        <w:pStyle w:val="60"/>
        <w:spacing w:line="360" w:lineRule="auto"/>
        <w:ind w:left="178" w:leftChars="85"/>
        <w:rPr>
          <w:rFonts w:hint="eastAsia" w:ascii="宋体" w:hAnsi="宋体"/>
          <w:b/>
          <w:color w:val="auto"/>
          <w:sz w:val="24"/>
        </w:rPr>
      </w:pPr>
      <w:r>
        <w:rPr>
          <w:rFonts w:hint="eastAsia" w:ascii="宋体" w:hAnsi="宋体"/>
          <w:b/>
          <w:color w:val="auto"/>
          <w:sz w:val="24"/>
        </w:rPr>
        <w:t>六、主要核增（减）项目</w:t>
      </w:r>
    </w:p>
    <w:p>
      <w:pPr>
        <w:pStyle w:val="60"/>
        <w:spacing w:line="360" w:lineRule="auto"/>
        <w:ind w:left="178" w:leftChars="85" w:firstLine="480" w:firstLineChars="200"/>
        <w:rPr>
          <w:rFonts w:hint="eastAsia" w:ascii="宋体" w:hAnsi="宋体"/>
          <w:color w:val="auto"/>
          <w:sz w:val="24"/>
        </w:rPr>
      </w:pPr>
      <w:r>
        <w:rPr>
          <w:rFonts w:hint="eastAsia" w:ascii="宋体" w:hAnsi="宋体"/>
          <w:color w:val="auto"/>
          <w:sz w:val="24"/>
        </w:rPr>
        <w:t>要求对整份报价文件的清单描述、工程量以及套用定额，换算、消耗量、材料单价、措施费以及规费等的合理性、准确性进行全面审核，并将审核出来的结果详细记录：包括将原送审清单的情况、改正后的情况、失误的原因、依据、进行对比分析。特别对原清单的量、价，审核调整后的量、价，核增、减金额情况进行详细对比分析并记录。若是多专业审核标的，应分专业编制。</w:t>
      </w:r>
    </w:p>
    <w:p>
      <w:pPr>
        <w:pStyle w:val="60"/>
        <w:spacing w:line="360" w:lineRule="auto"/>
        <w:ind w:left="178" w:leftChars="85"/>
        <w:rPr>
          <w:rFonts w:hint="eastAsia" w:ascii="宋体" w:hAnsi="宋体"/>
          <w:b/>
          <w:color w:val="auto"/>
          <w:sz w:val="24"/>
        </w:rPr>
      </w:pPr>
      <w:r>
        <w:rPr>
          <w:rFonts w:hint="eastAsia" w:ascii="宋体" w:hAnsi="宋体"/>
          <w:b/>
          <w:color w:val="auto"/>
          <w:sz w:val="24"/>
        </w:rPr>
        <w:t>五、工程主要指标：（根据具体情况编制）</w:t>
      </w:r>
    </w:p>
    <w:p>
      <w:pPr>
        <w:pStyle w:val="60"/>
        <w:spacing w:line="360" w:lineRule="auto"/>
        <w:ind w:left="178" w:leftChars="85" w:firstLine="480" w:firstLineChars="200"/>
        <w:rPr>
          <w:rFonts w:hint="eastAsia" w:ascii="宋体" w:hAnsi="宋体"/>
          <w:color w:val="auto"/>
          <w:sz w:val="24"/>
        </w:rPr>
      </w:pPr>
      <w:r>
        <w:rPr>
          <w:rFonts w:hint="eastAsia" w:ascii="宋体" w:hAnsi="宋体"/>
          <w:color w:val="auto"/>
          <w:sz w:val="24"/>
        </w:rPr>
        <w:t>要求将审核后的工程按专业进行主要指标分析，对指标做出观点性评价，对一些超常规指标作出分析性观点结论。</w:t>
      </w:r>
    </w:p>
    <w:p>
      <w:pPr>
        <w:pStyle w:val="60"/>
        <w:spacing w:line="360" w:lineRule="auto"/>
        <w:ind w:left="178" w:leftChars="85"/>
        <w:rPr>
          <w:rFonts w:hint="eastAsia" w:ascii="宋体" w:hAnsi="宋体"/>
          <w:b/>
          <w:color w:val="auto"/>
          <w:sz w:val="24"/>
        </w:rPr>
      </w:pPr>
      <w:r>
        <w:rPr>
          <w:rFonts w:hint="eastAsia" w:ascii="宋体" w:hAnsi="宋体"/>
          <w:b/>
          <w:color w:val="auto"/>
          <w:sz w:val="24"/>
        </w:rPr>
        <w:t>六、审核结果（见下表）</w:t>
      </w:r>
    </w:p>
    <w:tbl>
      <w:tblPr>
        <w:tblStyle w:val="30"/>
        <w:tblW w:w="9135" w:type="dxa"/>
        <w:tblInd w:w="108" w:type="dxa"/>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
      <w:tblGrid>
        <w:gridCol w:w="840"/>
        <w:gridCol w:w="3318"/>
        <w:gridCol w:w="1244"/>
        <w:gridCol w:w="1244"/>
        <w:gridCol w:w="1244"/>
        <w:gridCol w:w="1245"/>
      </w:tblGrid>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465" w:hRule="atLeast"/>
        </w:trPr>
        <w:tc>
          <w:tcPr>
            <w:tcW w:w="840" w:type="dxa"/>
            <w:vAlign w:val="center"/>
          </w:tcPr>
          <w:p>
            <w:pPr>
              <w:pStyle w:val="60"/>
              <w:widowControl/>
              <w:spacing w:line="360" w:lineRule="auto"/>
              <w:ind w:left="178" w:leftChars="85"/>
              <w:jc w:val="center"/>
              <w:rPr>
                <w:rFonts w:hint="eastAsia" w:ascii="宋体" w:hAnsi="宋体" w:cs="宋体"/>
                <w:b/>
                <w:bCs/>
                <w:color w:val="auto"/>
                <w:kern w:val="0"/>
                <w:sz w:val="24"/>
              </w:rPr>
            </w:pPr>
            <w:r>
              <w:rPr>
                <w:rFonts w:hint="eastAsia" w:ascii="宋体" w:hAnsi="宋体" w:cs="宋体"/>
                <w:b/>
                <w:bCs/>
                <w:color w:val="auto"/>
                <w:kern w:val="0"/>
                <w:sz w:val="24"/>
              </w:rPr>
              <w:t>编号</w:t>
            </w:r>
          </w:p>
        </w:tc>
        <w:tc>
          <w:tcPr>
            <w:tcW w:w="3318" w:type="dxa"/>
            <w:vAlign w:val="center"/>
          </w:tcPr>
          <w:p>
            <w:pPr>
              <w:pStyle w:val="60"/>
              <w:widowControl/>
              <w:spacing w:line="360" w:lineRule="auto"/>
              <w:ind w:left="178" w:leftChars="85"/>
              <w:jc w:val="center"/>
              <w:rPr>
                <w:rFonts w:hint="eastAsia" w:ascii="宋体" w:hAnsi="宋体" w:cs="宋体"/>
                <w:b/>
                <w:bCs/>
                <w:color w:val="auto"/>
                <w:kern w:val="0"/>
                <w:sz w:val="24"/>
              </w:rPr>
            </w:pPr>
            <w:r>
              <w:rPr>
                <w:rFonts w:hint="eastAsia" w:ascii="宋体" w:hAnsi="宋体" w:cs="宋体"/>
                <w:b/>
                <w:bCs/>
                <w:color w:val="auto"/>
                <w:kern w:val="0"/>
                <w:sz w:val="24"/>
              </w:rPr>
              <w:t>专业工程名称</w:t>
            </w:r>
          </w:p>
        </w:tc>
        <w:tc>
          <w:tcPr>
            <w:tcW w:w="1244" w:type="dxa"/>
            <w:vAlign w:val="center"/>
          </w:tcPr>
          <w:p>
            <w:pPr>
              <w:pStyle w:val="60"/>
              <w:widowControl/>
              <w:snapToGrid w:val="0"/>
              <w:spacing w:line="360" w:lineRule="auto"/>
              <w:ind w:left="178" w:leftChars="85"/>
              <w:jc w:val="center"/>
              <w:rPr>
                <w:rFonts w:hint="eastAsia" w:ascii="宋体" w:hAnsi="宋体" w:cs="宋体"/>
                <w:b/>
                <w:color w:val="auto"/>
                <w:kern w:val="0"/>
                <w:sz w:val="24"/>
              </w:rPr>
            </w:pPr>
            <w:r>
              <w:rPr>
                <w:rFonts w:hint="eastAsia" w:ascii="宋体" w:hAnsi="宋体" w:cs="宋体"/>
                <w:b/>
                <w:color w:val="auto"/>
                <w:kern w:val="0"/>
                <w:sz w:val="24"/>
              </w:rPr>
              <w:t>送审造价（元）</w:t>
            </w:r>
          </w:p>
        </w:tc>
        <w:tc>
          <w:tcPr>
            <w:tcW w:w="1244" w:type="dxa"/>
            <w:vAlign w:val="center"/>
          </w:tcPr>
          <w:p>
            <w:pPr>
              <w:pStyle w:val="60"/>
              <w:widowControl/>
              <w:snapToGrid w:val="0"/>
              <w:spacing w:line="360" w:lineRule="auto"/>
              <w:ind w:left="178" w:leftChars="85"/>
              <w:jc w:val="center"/>
              <w:rPr>
                <w:rFonts w:hint="eastAsia" w:ascii="宋体" w:hAnsi="宋体" w:cs="宋体"/>
                <w:b/>
                <w:color w:val="auto"/>
                <w:kern w:val="0"/>
                <w:sz w:val="24"/>
              </w:rPr>
            </w:pPr>
            <w:r>
              <w:rPr>
                <w:rFonts w:hint="eastAsia" w:ascii="宋体" w:hAnsi="宋体" w:cs="宋体"/>
                <w:b/>
                <w:color w:val="auto"/>
                <w:kern w:val="0"/>
                <w:sz w:val="24"/>
              </w:rPr>
              <w:t>审定造价（元）</w:t>
            </w:r>
          </w:p>
        </w:tc>
        <w:tc>
          <w:tcPr>
            <w:tcW w:w="1244" w:type="dxa"/>
            <w:vAlign w:val="center"/>
          </w:tcPr>
          <w:p>
            <w:pPr>
              <w:pStyle w:val="60"/>
              <w:widowControl/>
              <w:snapToGrid w:val="0"/>
              <w:spacing w:line="360" w:lineRule="auto"/>
              <w:ind w:left="178" w:leftChars="85"/>
              <w:jc w:val="center"/>
              <w:rPr>
                <w:rFonts w:hint="eastAsia" w:ascii="宋体" w:hAnsi="宋体" w:cs="宋体"/>
                <w:b/>
                <w:color w:val="auto"/>
                <w:kern w:val="0"/>
                <w:sz w:val="24"/>
              </w:rPr>
            </w:pPr>
            <w:r>
              <w:rPr>
                <w:rFonts w:hint="eastAsia" w:ascii="宋体" w:hAnsi="宋体" w:cs="宋体"/>
                <w:b/>
                <w:color w:val="auto"/>
                <w:kern w:val="0"/>
                <w:sz w:val="24"/>
              </w:rPr>
              <w:t>增额</w:t>
            </w:r>
          </w:p>
          <w:p>
            <w:pPr>
              <w:pStyle w:val="60"/>
              <w:widowControl/>
              <w:snapToGrid w:val="0"/>
              <w:spacing w:line="360" w:lineRule="auto"/>
              <w:ind w:left="178" w:leftChars="85"/>
              <w:jc w:val="center"/>
              <w:rPr>
                <w:rFonts w:hint="eastAsia" w:ascii="宋体" w:hAnsi="宋体" w:cs="宋体"/>
                <w:b/>
                <w:color w:val="auto"/>
                <w:kern w:val="0"/>
                <w:sz w:val="24"/>
              </w:rPr>
            </w:pPr>
            <w:r>
              <w:rPr>
                <w:rFonts w:hint="eastAsia" w:ascii="宋体" w:hAnsi="宋体" w:cs="宋体"/>
                <w:b/>
                <w:color w:val="auto"/>
                <w:kern w:val="0"/>
                <w:sz w:val="24"/>
              </w:rPr>
              <w:t>（元）</w:t>
            </w:r>
          </w:p>
        </w:tc>
        <w:tc>
          <w:tcPr>
            <w:tcW w:w="1245" w:type="dxa"/>
            <w:vAlign w:val="center"/>
          </w:tcPr>
          <w:p>
            <w:pPr>
              <w:pStyle w:val="60"/>
              <w:widowControl/>
              <w:snapToGrid w:val="0"/>
              <w:spacing w:line="360" w:lineRule="auto"/>
              <w:ind w:left="178" w:leftChars="85"/>
              <w:jc w:val="center"/>
              <w:rPr>
                <w:rFonts w:hint="eastAsia" w:ascii="宋体" w:hAnsi="宋体" w:cs="宋体"/>
                <w:b/>
                <w:color w:val="auto"/>
                <w:kern w:val="0"/>
                <w:sz w:val="24"/>
              </w:rPr>
            </w:pPr>
            <w:r>
              <w:rPr>
                <w:rFonts w:hint="eastAsia" w:ascii="宋体" w:hAnsi="宋体" w:cs="宋体"/>
                <w:b/>
                <w:color w:val="auto"/>
                <w:kern w:val="0"/>
                <w:sz w:val="24"/>
              </w:rPr>
              <w:t>减额</w:t>
            </w:r>
          </w:p>
          <w:p>
            <w:pPr>
              <w:pStyle w:val="60"/>
              <w:widowControl/>
              <w:snapToGrid w:val="0"/>
              <w:spacing w:line="360" w:lineRule="auto"/>
              <w:ind w:left="178" w:leftChars="85"/>
              <w:jc w:val="center"/>
              <w:rPr>
                <w:rFonts w:hint="eastAsia" w:ascii="宋体" w:hAnsi="宋体" w:cs="宋体"/>
                <w:b/>
                <w:color w:val="auto"/>
                <w:kern w:val="0"/>
                <w:sz w:val="24"/>
              </w:rPr>
            </w:pPr>
            <w:r>
              <w:rPr>
                <w:rFonts w:hint="eastAsia" w:ascii="宋体" w:hAnsi="宋体" w:cs="宋体"/>
                <w:b/>
                <w:color w:val="auto"/>
                <w:kern w:val="0"/>
                <w:sz w:val="24"/>
              </w:rPr>
              <w:t>（元）</w:t>
            </w: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465" w:hRule="atLeast"/>
        </w:trPr>
        <w:tc>
          <w:tcPr>
            <w:tcW w:w="840" w:type="dxa"/>
            <w:vAlign w:val="center"/>
          </w:tcPr>
          <w:p>
            <w:pPr>
              <w:pStyle w:val="60"/>
              <w:widowControl/>
              <w:spacing w:line="360" w:lineRule="auto"/>
              <w:ind w:left="178" w:leftChars="85"/>
              <w:jc w:val="center"/>
              <w:rPr>
                <w:rFonts w:hint="eastAsia" w:ascii="宋体" w:hAnsi="宋体" w:cs="宋体"/>
                <w:bCs/>
                <w:color w:val="auto"/>
                <w:kern w:val="0"/>
                <w:sz w:val="24"/>
              </w:rPr>
            </w:pPr>
            <w:r>
              <w:rPr>
                <w:rFonts w:hint="eastAsia" w:ascii="宋体" w:hAnsi="宋体" w:cs="宋体"/>
                <w:bCs/>
                <w:color w:val="auto"/>
                <w:kern w:val="0"/>
                <w:sz w:val="24"/>
              </w:rPr>
              <w:t>一</w:t>
            </w:r>
          </w:p>
        </w:tc>
        <w:tc>
          <w:tcPr>
            <w:tcW w:w="3318" w:type="dxa"/>
            <w:vAlign w:val="center"/>
          </w:tcPr>
          <w:p>
            <w:pPr>
              <w:pStyle w:val="60"/>
              <w:widowControl/>
              <w:spacing w:line="360" w:lineRule="auto"/>
              <w:ind w:left="178" w:leftChars="85"/>
              <w:jc w:val="center"/>
              <w:rPr>
                <w:rFonts w:hint="eastAsia" w:ascii="宋体" w:hAnsi="宋体" w:cs="宋体"/>
                <w:bCs/>
                <w:color w:val="auto"/>
                <w:kern w:val="0"/>
                <w:sz w:val="24"/>
              </w:rPr>
            </w:pPr>
            <w:r>
              <w:rPr>
                <w:rFonts w:hint="eastAsia" w:ascii="宋体" w:hAnsi="宋体" w:cs="宋体"/>
                <w:bCs/>
                <w:color w:val="auto"/>
                <w:kern w:val="0"/>
                <w:sz w:val="24"/>
              </w:rPr>
              <w:t>土建工程</w:t>
            </w:r>
          </w:p>
        </w:tc>
        <w:tc>
          <w:tcPr>
            <w:tcW w:w="1244" w:type="dxa"/>
            <w:vAlign w:val="center"/>
          </w:tcPr>
          <w:p>
            <w:pPr>
              <w:pStyle w:val="60"/>
              <w:widowControl/>
              <w:spacing w:line="360" w:lineRule="auto"/>
              <w:ind w:left="178" w:leftChars="85"/>
              <w:jc w:val="right"/>
              <w:rPr>
                <w:rFonts w:hint="eastAsia" w:ascii="宋体" w:hAnsi="宋体" w:cs="宋体"/>
                <w:color w:val="auto"/>
                <w:kern w:val="0"/>
                <w:sz w:val="24"/>
              </w:rPr>
            </w:pPr>
            <w:r>
              <w:rPr>
                <w:rFonts w:hint="eastAsia" w:ascii="宋体" w:hAnsi="宋体" w:cs="宋体"/>
                <w:color w:val="auto"/>
                <w:kern w:val="0"/>
                <w:sz w:val="24"/>
              </w:rPr>
              <w:t xml:space="preserve"> </w:t>
            </w:r>
          </w:p>
        </w:tc>
        <w:tc>
          <w:tcPr>
            <w:tcW w:w="1244" w:type="dxa"/>
            <w:vAlign w:val="center"/>
          </w:tcPr>
          <w:p>
            <w:pPr>
              <w:pStyle w:val="60"/>
              <w:widowControl/>
              <w:spacing w:line="360" w:lineRule="auto"/>
              <w:ind w:left="178" w:leftChars="85" w:right="400"/>
              <w:jc w:val="center"/>
              <w:rPr>
                <w:rFonts w:hint="eastAsia" w:ascii="宋体" w:hAnsi="宋体" w:cs="宋体"/>
                <w:color w:val="auto"/>
                <w:kern w:val="0"/>
                <w:sz w:val="24"/>
              </w:rPr>
            </w:pPr>
          </w:p>
        </w:tc>
        <w:tc>
          <w:tcPr>
            <w:tcW w:w="1244" w:type="dxa"/>
            <w:vAlign w:val="center"/>
          </w:tcPr>
          <w:p>
            <w:pPr>
              <w:pStyle w:val="60"/>
              <w:widowControl/>
              <w:spacing w:line="360" w:lineRule="auto"/>
              <w:ind w:left="178" w:leftChars="85"/>
              <w:jc w:val="right"/>
              <w:rPr>
                <w:rFonts w:hint="eastAsia" w:ascii="宋体" w:hAnsi="宋体" w:cs="宋体"/>
                <w:color w:val="auto"/>
                <w:kern w:val="0"/>
                <w:sz w:val="24"/>
              </w:rPr>
            </w:pPr>
          </w:p>
        </w:tc>
        <w:tc>
          <w:tcPr>
            <w:tcW w:w="1245" w:type="dxa"/>
            <w:vAlign w:val="top"/>
          </w:tcPr>
          <w:p>
            <w:pPr>
              <w:pStyle w:val="60"/>
              <w:widowControl/>
              <w:spacing w:line="360" w:lineRule="auto"/>
              <w:ind w:left="178" w:leftChars="85"/>
              <w:jc w:val="right"/>
              <w:rPr>
                <w:rFonts w:hint="eastAsia" w:ascii="宋体" w:hAnsi="宋体" w:cs="宋体"/>
                <w:color w:val="auto"/>
                <w:kern w:val="0"/>
                <w:sz w:val="24"/>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450" w:hRule="atLeast"/>
        </w:trPr>
        <w:tc>
          <w:tcPr>
            <w:tcW w:w="840" w:type="dxa"/>
            <w:vAlign w:val="center"/>
          </w:tcPr>
          <w:p>
            <w:pPr>
              <w:pStyle w:val="60"/>
              <w:widowControl/>
              <w:spacing w:line="360" w:lineRule="auto"/>
              <w:ind w:left="178" w:leftChars="85"/>
              <w:jc w:val="center"/>
              <w:rPr>
                <w:rFonts w:hint="eastAsia" w:ascii="宋体" w:hAnsi="宋体" w:cs="宋体"/>
                <w:bCs/>
                <w:color w:val="auto"/>
                <w:kern w:val="0"/>
                <w:sz w:val="24"/>
              </w:rPr>
            </w:pPr>
            <w:r>
              <w:rPr>
                <w:rFonts w:hint="eastAsia" w:ascii="宋体" w:hAnsi="宋体" w:cs="宋体"/>
                <w:bCs/>
                <w:color w:val="auto"/>
                <w:kern w:val="0"/>
                <w:sz w:val="24"/>
              </w:rPr>
              <w:t>二</w:t>
            </w:r>
          </w:p>
        </w:tc>
        <w:tc>
          <w:tcPr>
            <w:tcW w:w="3318" w:type="dxa"/>
            <w:vAlign w:val="center"/>
          </w:tcPr>
          <w:p>
            <w:pPr>
              <w:pStyle w:val="60"/>
              <w:widowControl/>
              <w:spacing w:line="360" w:lineRule="auto"/>
              <w:ind w:left="178" w:leftChars="85"/>
              <w:jc w:val="center"/>
              <w:rPr>
                <w:rFonts w:hint="eastAsia" w:ascii="宋体" w:hAnsi="宋体" w:cs="宋体"/>
                <w:bCs/>
                <w:color w:val="auto"/>
                <w:kern w:val="0"/>
                <w:sz w:val="24"/>
              </w:rPr>
            </w:pPr>
            <w:r>
              <w:rPr>
                <w:rFonts w:hint="eastAsia" w:ascii="宋体" w:hAnsi="宋体" w:cs="宋体"/>
                <w:bCs/>
                <w:color w:val="auto"/>
                <w:kern w:val="0"/>
                <w:sz w:val="24"/>
              </w:rPr>
              <w:t>安装工程</w:t>
            </w:r>
          </w:p>
        </w:tc>
        <w:tc>
          <w:tcPr>
            <w:tcW w:w="1244" w:type="dxa"/>
            <w:vAlign w:val="center"/>
          </w:tcPr>
          <w:p>
            <w:pPr>
              <w:pStyle w:val="60"/>
              <w:widowControl/>
              <w:spacing w:line="360" w:lineRule="auto"/>
              <w:ind w:left="178" w:leftChars="85"/>
              <w:jc w:val="right"/>
              <w:rPr>
                <w:rFonts w:hint="eastAsia" w:ascii="宋体" w:hAnsi="宋体" w:cs="宋体"/>
                <w:color w:val="auto"/>
                <w:kern w:val="0"/>
                <w:sz w:val="24"/>
              </w:rPr>
            </w:pPr>
          </w:p>
        </w:tc>
        <w:tc>
          <w:tcPr>
            <w:tcW w:w="1244" w:type="dxa"/>
            <w:vAlign w:val="center"/>
          </w:tcPr>
          <w:p>
            <w:pPr>
              <w:pStyle w:val="60"/>
              <w:widowControl/>
              <w:spacing w:line="360" w:lineRule="auto"/>
              <w:ind w:left="178" w:leftChars="85"/>
              <w:jc w:val="right"/>
              <w:rPr>
                <w:rFonts w:hint="eastAsia" w:ascii="宋体" w:hAnsi="宋体" w:cs="宋体"/>
                <w:color w:val="auto"/>
                <w:kern w:val="0"/>
                <w:sz w:val="24"/>
              </w:rPr>
            </w:pPr>
          </w:p>
        </w:tc>
        <w:tc>
          <w:tcPr>
            <w:tcW w:w="1244" w:type="dxa"/>
            <w:vAlign w:val="center"/>
          </w:tcPr>
          <w:p>
            <w:pPr>
              <w:pStyle w:val="60"/>
              <w:widowControl/>
              <w:spacing w:line="360" w:lineRule="auto"/>
              <w:ind w:left="178" w:leftChars="85"/>
              <w:jc w:val="right"/>
              <w:rPr>
                <w:rFonts w:hint="eastAsia" w:ascii="宋体" w:hAnsi="宋体" w:cs="宋体"/>
                <w:color w:val="auto"/>
                <w:kern w:val="0"/>
                <w:sz w:val="24"/>
              </w:rPr>
            </w:pPr>
          </w:p>
        </w:tc>
        <w:tc>
          <w:tcPr>
            <w:tcW w:w="1245" w:type="dxa"/>
            <w:vAlign w:val="top"/>
          </w:tcPr>
          <w:p>
            <w:pPr>
              <w:pStyle w:val="60"/>
              <w:widowControl/>
              <w:spacing w:line="360" w:lineRule="auto"/>
              <w:ind w:left="178" w:leftChars="85"/>
              <w:jc w:val="right"/>
              <w:rPr>
                <w:rFonts w:hint="eastAsia" w:ascii="宋体" w:hAnsi="宋体" w:cs="宋体"/>
                <w:color w:val="auto"/>
                <w:kern w:val="0"/>
                <w:sz w:val="24"/>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450" w:hRule="atLeast"/>
        </w:trPr>
        <w:tc>
          <w:tcPr>
            <w:tcW w:w="840" w:type="dxa"/>
            <w:vAlign w:val="center"/>
          </w:tcPr>
          <w:p>
            <w:pPr>
              <w:pStyle w:val="60"/>
              <w:widowControl/>
              <w:spacing w:line="360" w:lineRule="auto"/>
              <w:ind w:left="178" w:leftChars="85"/>
              <w:jc w:val="center"/>
              <w:rPr>
                <w:rFonts w:hint="eastAsia" w:ascii="宋体" w:hAnsi="宋体" w:cs="宋体"/>
                <w:bCs/>
                <w:color w:val="auto"/>
                <w:kern w:val="0"/>
                <w:sz w:val="24"/>
              </w:rPr>
            </w:pPr>
            <w:r>
              <w:rPr>
                <w:rFonts w:hint="eastAsia" w:ascii="宋体" w:hAnsi="宋体" w:cs="宋体"/>
                <w:bCs/>
                <w:color w:val="auto"/>
                <w:kern w:val="0"/>
                <w:sz w:val="24"/>
              </w:rPr>
              <w:t>三</w:t>
            </w:r>
          </w:p>
        </w:tc>
        <w:tc>
          <w:tcPr>
            <w:tcW w:w="3318" w:type="dxa"/>
            <w:vAlign w:val="center"/>
          </w:tcPr>
          <w:p>
            <w:pPr>
              <w:pStyle w:val="60"/>
              <w:widowControl/>
              <w:spacing w:line="360" w:lineRule="auto"/>
              <w:ind w:left="178" w:leftChars="85"/>
              <w:jc w:val="center"/>
              <w:rPr>
                <w:rFonts w:hint="eastAsia" w:ascii="宋体" w:hAnsi="宋体" w:cs="宋体"/>
                <w:bCs/>
                <w:color w:val="auto"/>
                <w:kern w:val="0"/>
                <w:sz w:val="24"/>
              </w:rPr>
            </w:pPr>
            <w:r>
              <w:rPr>
                <w:rFonts w:hint="eastAsia" w:ascii="宋体" w:hAnsi="宋体" w:cs="宋体"/>
                <w:bCs/>
                <w:color w:val="auto"/>
                <w:kern w:val="0"/>
                <w:sz w:val="24"/>
              </w:rPr>
              <w:t>室外道路工程</w:t>
            </w:r>
          </w:p>
        </w:tc>
        <w:tc>
          <w:tcPr>
            <w:tcW w:w="1244" w:type="dxa"/>
            <w:vAlign w:val="center"/>
          </w:tcPr>
          <w:p>
            <w:pPr>
              <w:pStyle w:val="60"/>
              <w:widowControl/>
              <w:spacing w:line="360" w:lineRule="auto"/>
              <w:ind w:left="178" w:leftChars="85"/>
              <w:jc w:val="right"/>
              <w:rPr>
                <w:rFonts w:hint="eastAsia" w:ascii="宋体" w:hAnsi="宋体" w:cs="宋体"/>
                <w:color w:val="auto"/>
                <w:kern w:val="0"/>
                <w:sz w:val="24"/>
              </w:rPr>
            </w:pPr>
          </w:p>
        </w:tc>
        <w:tc>
          <w:tcPr>
            <w:tcW w:w="1244" w:type="dxa"/>
            <w:vAlign w:val="center"/>
          </w:tcPr>
          <w:p>
            <w:pPr>
              <w:pStyle w:val="60"/>
              <w:widowControl/>
              <w:spacing w:line="360" w:lineRule="auto"/>
              <w:ind w:left="178" w:leftChars="85"/>
              <w:jc w:val="right"/>
              <w:rPr>
                <w:rFonts w:hint="eastAsia" w:ascii="宋体" w:hAnsi="宋体" w:cs="宋体"/>
                <w:color w:val="auto"/>
                <w:kern w:val="0"/>
                <w:sz w:val="24"/>
              </w:rPr>
            </w:pPr>
          </w:p>
        </w:tc>
        <w:tc>
          <w:tcPr>
            <w:tcW w:w="1244" w:type="dxa"/>
            <w:vAlign w:val="center"/>
          </w:tcPr>
          <w:p>
            <w:pPr>
              <w:pStyle w:val="60"/>
              <w:widowControl/>
              <w:spacing w:line="360" w:lineRule="auto"/>
              <w:ind w:left="178" w:leftChars="85"/>
              <w:jc w:val="right"/>
              <w:rPr>
                <w:rFonts w:hint="eastAsia" w:ascii="宋体" w:hAnsi="宋体" w:cs="宋体"/>
                <w:color w:val="auto"/>
                <w:kern w:val="0"/>
                <w:sz w:val="24"/>
              </w:rPr>
            </w:pPr>
          </w:p>
        </w:tc>
        <w:tc>
          <w:tcPr>
            <w:tcW w:w="1245" w:type="dxa"/>
            <w:vAlign w:val="top"/>
          </w:tcPr>
          <w:p>
            <w:pPr>
              <w:pStyle w:val="60"/>
              <w:widowControl/>
              <w:spacing w:line="360" w:lineRule="auto"/>
              <w:ind w:left="178" w:leftChars="85"/>
              <w:jc w:val="right"/>
              <w:rPr>
                <w:rFonts w:hint="eastAsia" w:ascii="宋体" w:hAnsi="宋体" w:cs="宋体"/>
                <w:color w:val="auto"/>
                <w:kern w:val="0"/>
                <w:sz w:val="24"/>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450" w:hRule="atLeast"/>
        </w:trPr>
        <w:tc>
          <w:tcPr>
            <w:tcW w:w="840" w:type="dxa"/>
            <w:vAlign w:val="center"/>
          </w:tcPr>
          <w:p>
            <w:pPr>
              <w:pStyle w:val="60"/>
              <w:widowControl/>
              <w:spacing w:line="360" w:lineRule="auto"/>
              <w:ind w:left="178" w:leftChars="85"/>
              <w:jc w:val="center"/>
              <w:rPr>
                <w:rFonts w:hint="eastAsia" w:ascii="宋体" w:hAnsi="宋体" w:cs="宋体"/>
                <w:bCs/>
                <w:color w:val="auto"/>
                <w:kern w:val="0"/>
                <w:sz w:val="24"/>
              </w:rPr>
            </w:pPr>
            <w:r>
              <w:rPr>
                <w:rFonts w:hint="eastAsia" w:ascii="宋体" w:hAnsi="宋体" w:cs="宋体"/>
                <w:bCs/>
                <w:color w:val="auto"/>
                <w:kern w:val="0"/>
                <w:sz w:val="24"/>
              </w:rPr>
              <w:t>四</w:t>
            </w:r>
          </w:p>
        </w:tc>
        <w:tc>
          <w:tcPr>
            <w:tcW w:w="3318" w:type="dxa"/>
            <w:vAlign w:val="center"/>
          </w:tcPr>
          <w:p>
            <w:pPr>
              <w:pStyle w:val="60"/>
              <w:widowControl/>
              <w:spacing w:line="360" w:lineRule="auto"/>
              <w:ind w:left="178" w:leftChars="85"/>
              <w:jc w:val="center"/>
              <w:rPr>
                <w:rFonts w:hint="eastAsia" w:ascii="宋体" w:hAnsi="宋体" w:cs="宋体"/>
                <w:bCs/>
                <w:color w:val="auto"/>
                <w:kern w:val="0"/>
                <w:sz w:val="24"/>
              </w:rPr>
            </w:pPr>
            <w:r>
              <w:rPr>
                <w:rFonts w:hint="eastAsia" w:ascii="宋体" w:hAnsi="宋体" w:cs="宋体"/>
                <w:bCs/>
                <w:color w:val="auto"/>
                <w:kern w:val="0"/>
                <w:sz w:val="24"/>
              </w:rPr>
              <w:t>…</w:t>
            </w:r>
          </w:p>
        </w:tc>
        <w:tc>
          <w:tcPr>
            <w:tcW w:w="1244" w:type="dxa"/>
            <w:vAlign w:val="center"/>
          </w:tcPr>
          <w:p>
            <w:pPr>
              <w:pStyle w:val="60"/>
              <w:widowControl/>
              <w:spacing w:line="360" w:lineRule="auto"/>
              <w:ind w:left="178" w:leftChars="85"/>
              <w:jc w:val="right"/>
              <w:rPr>
                <w:rFonts w:hint="eastAsia" w:ascii="宋体" w:hAnsi="宋体" w:cs="宋体"/>
                <w:b/>
                <w:bCs/>
                <w:color w:val="auto"/>
                <w:kern w:val="0"/>
                <w:sz w:val="24"/>
              </w:rPr>
            </w:pPr>
          </w:p>
        </w:tc>
        <w:tc>
          <w:tcPr>
            <w:tcW w:w="1244" w:type="dxa"/>
            <w:vAlign w:val="center"/>
          </w:tcPr>
          <w:p>
            <w:pPr>
              <w:pStyle w:val="60"/>
              <w:widowControl/>
              <w:spacing w:line="360" w:lineRule="auto"/>
              <w:ind w:left="178" w:leftChars="85"/>
              <w:jc w:val="right"/>
              <w:rPr>
                <w:rFonts w:hint="eastAsia" w:ascii="宋体" w:hAnsi="宋体" w:cs="宋体"/>
                <w:b/>
                <w:bCs/>
                <w:color w:val="auto"/>
                <w:kern w:val="0"/>
                <w:sz w:val="24"/>
              </w:rPr>
            </w:pPr>
          </w:p>
        </w:tc>
        <w:tc>
          <w:tcPr>
            <w:tcW w:w="1244" w:type="dxa"/>
            <w:vAlign w:val="center"/>
          </w:tcPr>
          <w:p>
            <w:pPr>
              <w:pStyle w:val="60"/>
              <w:widowControl/>
              <w:spacing w:line="360" w:lineRule="auto"/>
              <w:ind w:left="178" w:leftChars="85"/>
              <w:jc w:val="right"/>
              <w:rPr>
                <w:rFonts w:hint="eastAsia" w:ascii="宋体" w:hAnsi="宋体" w:cs="宋体"/>
                <w:b/>
                <w:bCs/>
                <w:color w:val="auto"/>
                <w:kern w:val="0"/>
                <w:sz w:val="24"/>
              </w:rPr>
            </w:pPr>
          </w:p>
        </w:tc>
        <w:tc>
          <w:tcPr>
            <w:tcW w:w="1245" w:type="dxa"/>
            <w:vAlign w:val="top"/>
          </w:tcPr>
          <w:p>
            <w:pPr>
              <w:pStyle w:val="60"/>
              <w:widowControl/>
              <w:spacing w:line="360" w:lineRule="auto"/>
              <w:ind w:left="178" w:leftChars="85"/>
              <w:jc w:val="right"/>
              <w:rPr>
                <w:rFonts w:hint="eastAsia" w:ascii="宋体" w:hAnsi="宋体" w:cs="宋体"/>
                <w:b/>
                <w:bCs/>
                <w:color w:val="auto"/>
                <w:kern w:val="0"/>
                <w:sz w:val="24"/>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450" w:hRule="atLeast"/>
        </w:trPr>
        <w:tc>
          <w:tcPr>
            <w:tcW w:w="840" w:type="dxa"/>
            <w:vAlign w:val="center"/>
          </w:tcPr>
          <w:p>
            <w:pPr>
              <w:pStyle w:val="60"/>
              <w:widowControl/>
              <w:spacing w:line="360" w:lineRule="auto"/>
              <w:ind w:left="178" w:leftChars="85"/>
              <w:jc w:val="center"/>
              <w:rPr>
                <w:rFonts w:hint="eastAsia" w:ascii="宋体" w:hAnsi="宋体" w:cs="宋体"/>
                <w:bCs/>
                <w:color w:val="auto"/>
                <w:kern w:val="0"/>
                <w:sz w:val="24"/>
              </w:rPr>
            </w:pPr>
            <w:r>
              <w:rPr>
                <w:rFonts w:hint="eastAsia" w:ascii="宋体" w:hAnsi="宋体" w:cs="宋体"/>
                <w:bCs/>
                <w:color w:val="auto"/>
                <w:kern w:val="0"/>
                <w:sz w:val="24"/>
              </w:rPr>
              <w:t>…</w:t>
            </w:r>
          </w:p>
        </w:tc>
        <w:tc>
          <w:tcPr>
            <w:tcW w:w="3318" w:type="dxa"/>
            <w:vAlign w:val="center"/>
          </w:tcPr>
          <w:p>
            <w:pPr>
              <w:pStyle w:val="60"/>
              <w:widowControl/>
              <w:spacing w:line="360" w:lineRule="auto"/>
              <w:ind w:left="178" w:leftChars="85"/>
              <w:jc w:val="center"/>
              <w:rPr>
                <w:rFonts w:hint="eastAsia" w:ascii="宋体" w:hAnsi="宋体" w:cs="宋体"/>
                <w:bCs/>
                <w:color w:val="auto"/>
                <w:kern w:val="0"/>
                <w:sz w:val="24"/>
              </w:rPr>
            </w:pPr>
            <w:r>
              <w:rPr>
                <w:rFonts w:hint="eastAsia" w:ascii="宋体" w:hAnsi="宋体" w:cs="宋体"/>
                <w:bCs/>
                <w:color w:val="auto"/>
                <w:kern w:val="0"/>
                <w:sz w:val="24"/>
              </w:rPr>
              <w:t>…</w:t>
            </w:r>
          </w:p>
        </w:tc>
        <w:tc>
          <w:tcPr>
            <w:tcW w:w="1244" w:type="dxa"/>
            <w:vAlign w:val="center"/>
          </w:tcPr>
          <w:p>
            <w:pPr>
              <w:pStyle w:val="60"/>
              <w:widowControl/>
              <w:spacing w:line="360" w:lineRule="auto"/>
              <w:ind w:left="178" w:leftChars="85"/>
              <w:jc w:val="right"/>
              <w:rPr>
                <w:rFonts w:hint="eastAsia" w:ascii="宋体" w:hAnsi="宋体" w:cs="宋体"/>
                <w:b/>
                <w:bCs/>
                <w:color w:val="auto"/>
                <w:kern w:val="0"/>
                <w:sz w:val="24"/>
              </w:rPr>
            </w:pPr>
          </w:p>
        </w:tc>
        <w:tc>
          <w:tcPr>
            <w:tcW w:w="1244" w:type="dxa"/>
            <w:vAlign w:val="center"/>
          </w:tcPr>
          <w:p>
            <w:pPr>
              <w:pStyle w:val="60"/>
              <w:widowControl/>
              <w:spacing w:line="360" w:lineRule="auto"/>
              <w:ind w:left="178" w:leftChars="85"/>
              <w:jc w:val="right"/>
              <w:rPr>
                <w:rFonts w:hint="eastAsia" w:ascii="宋体" w:hAnsi="宋体" w:cs="宋体"/>
                <w:b/>
                <w:bCs/>
                <w:color w:val="auto"/>
                <w:kern w:val="0"/>
                <w:sz w:val="24"/>
              </w:rPr>
            </w:pPr>
          </w:p>
        </w:tc>
        <w:tc>
          <w:tcPr>
            <w:tcW w:w="1244" w:type="dxa"/>
            <w:vAlign w:val="center"/>
          </w:tcPr>
          <w:p>
            <w:pPr>
              <w:pStyle w:val="60"/>
              <w:widowControl/>
              <w:spacing w:line="360" w:lineRule="auto"/>
              <w:ind w:left="178" w:leftChars="85"/>
              <w:jc w:val="right"/>
              <w:rPr>
                <w:rFonts w:hint="eastAsia" w:ascii="宋体" w:hAnsi="宋体" w:cs="宋体"/>
                <w:b/>
                <w:bCs/>
                <w:color w:val="auto"/>
                <w:kern w:val="0"/>
                <w:sz w:val="24"/>
              </w:rPr>
            </w:pPr>
          </w:p>
        </w:tc>
        <w:tc>
          <w:tcPr>
            <w:tcW w:w="1245" w:type="dxa"/>
            <w:vAlign w:val="top"/>
          </w:tcPr>
          <w:p>
            <w:pPr>
              <w:pStyle w:val="60"/>
              <w:widowControl/>
              <w:spacing w:line="360" w:lineRule="auto"/>
              <w:ind w:left="178" w:leftChars="85"/>
              <w:jc w:val="right"/>
              <w:rPr>
                <w:rFonts w:hint="eastAsia" w:ascii="宋体" w:hAnsi="宋体" w:cs="宋体"/>
                <w:b/>
                <w:bCs/>
                <w:color w:val="auto"/>
                <w:kern w:val="0"/>
                <w:sz w:val="24"/>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450" w:hRule="atLeast"/>
        </w:trPr>
        <w:tc>
          <w:tcPr>
            <w:tcW w:w="840" w:type="dxa"/>
            <w:vAlign w:val="center"/>
          </w:tcPr>
          <w:p>
            <w:pPr>
              <w:pStyle w:val="60"/>
              <w:widowControl/>
              <w:spacing w:line="360" w:lineRule="auto"/>
              <w:ind w:left="178" w:leftChars="85"/>
              <w:jc w:val="center"/>
              <w:rPr>
                <w:rFonts w:hint="eastAsia" w:ascii="宋体" w:hAnsi="宋体" w:cs="宋体"/>
                <w:bCs/>
                <w:color w:val="auto"/>
                <w:kern w:val="0"/>
                <w:sz w:val="24"/>
              </w:rPr>
            </w:pPr>
            <w:r>
              <w:rPr>
                <w:rFonts w:hint="eastAsia" w:ascii="宋体" w:hAnsi="宋体" w:cs="宋体"/>
                <w:bCs/>
                <w:color w:val="auto"/>
                <w:kern w:val="0"/>
                <w:sz w:val="24"/>
              </w:rPr>
              <w:t>…</w:t>
            </w:r>
          </w:p>
        </w:tc>
        <w:tc>
          <w:tcPr>
            <w:tcW w:w="3318" w:type="dxa"/>
            <w:vAlign w:val="center"/>
          </w:tcPr>
          <w:p>
            <w:pPr>
              <w:pStyle w:val="60"/>
              <w:widowControl/>
              <w:spacing w:line="360" w:lineRule="auto"/>
              <w:ind w:left="178" w:leftChars="85"/>
              <w:jc w:val="center"/>
              <w:rPr>
                <w:rFonts w:hint="eastAsia" w:ascii="宋体" w:hAnsi="宋体" w:cs="宋体"/>
                <w:bCs/>
                <w:color w:val="auto"/>
                <w:kern w:val="0"/>
                <w:sz w:val="24"/>
              </w:rPr>
            </w:pPr>
            <w:r>
              <w:rPr>
                <w:rFonts w:hint="eastAsia" w:ascii="宋体" w:hAnsi="宋体" w:cs="宋体"/>
                <w:bCs/>
                <w:color w:val="auto"/>
                <w:kern w:val="0"/>
                <w:sz w:val="24"/>
              </w:rPr>
              <w:t>工程含税总造价（一+二）</w:t>
            </w:r>
          </w:p>
        </w:tc>
        <w:tc>
          <w:tcPr>
            <w:tcW w:w="1244" w:type="dxa"/>
            <w:vAlign w:val="center"/>
          </w:tcPr>
          <w:p>
            <w:pPr>
              <w:pStyle w:val="60"/>
              <w:widowControl/>
              <w:spacing w:line="360" w:lineRule="auto"/>
              <w:ind w:left="178" w:leftChars="85"/>
              <w:jc w:val="right"/>
              <w:rPr>
                <w:rFonts w:hint="eastAsia" w:ascii="宋体" w:hAnsi="宋体" w:cs="宋体"/>
                <w:b/>
                <w:bCs/>
                <w:color w:val="auto"/>
                <w:kern w:val="0"/>
                <w:sz w:val="24"/>
              </w:rPr>
            </w:pPr>
          </w:p>
        </w:tc>
        <w:tc>
          <w:tcPr>
            <w:tcW w:w="1244" w:type="dxa"/>
            <w:vAlign w:val="center"/>
          </w:tcPr>
          <w:p>
            <w:pPr>
              <w:pStyle w:val="60"/>
              <w:widowControl/>
              <w:spacing w:line="360" w:lineRule="auto"/>
              <w:ind w:left="178" w:leftChars="85"/>
              <w:jc w:val="right"/>
              <w:rPr>
                <w:rFonts w:hint="eastAsia" w:ascii="宋体" w:hAnsi="宋体" w:cs="宋体"/>
                <w:b/>
                <w:bCs/>
                <w:color w:val="auto"/>
                <w:kern w:val="0"/>
                <w:sz w:val="24"/>
              </w:rPr>
            </w:pPr>
          </w:p>
        </w:tc>
        <w:tc>
          <w:tcPr>
            <w:tcW w:w="1244" w:type="dxa"/>
            <w:vAlign w:val="center"/>
          </w:tcPr>
          <w:p>
            <w:pPr>
              <w:pStyle w:val="60"/>
              <w:widowControl/>
              <w:spacing w:line="360" w:lineRule="auto"/>
              <w:ind w:left="178" w:leftChars="85"/>
              <w:jc w:val="right"/>
              <w:rPr>
                <w:rFonts w:hint="eastAsia" w:ascii="宋体" w:hAnsi="宋体" w:cs="宋体"/>
                <w:b/>
                <w:bCs/>
                <w:color w:val="auto"/>
                <w:kern w:val="0"/>
                <w:sz w:val="24"/>
              </w:rPr>
            </w:pPr>
          </w:p>
        </w:tc>
        <w:tc>
          <w:tcPr>
            <w:tcW w:w="1245" w:type="dxa"/>
            <w:vAlign w:val="top"/>
          </w:tcPr>
          <w:p>
            <w:pPr>
              <w:pStyle w:val="60"/>
              <w:widowControl/>
              <w:spacing w:line="360" w:lineRule="auto"/>
              <w:ind w:left="178" w:leftChars="85"/>
              <w:jc w:val="right"/>
              <w:rPr>
                <w:rFonts w:hint="eastAsia" w:ascii="宋体" w:hAnsi="宋体" w:cs="宋体"/>
                <w:b/>
                <w:bCs/>
                <w:color w:val="auto"/>
                <w:kern w:val="0"/>
                <w:sz w:val="24"/>
              </w:rPr>
            </w:pPr>
          </w:p>
        </w:tc>
      </w:tr>
    </w:tbl>
    <w:p>
      <w:pPr>
        <w:pStyle w:val="60"/>
        <w:spacing w:line="360" w:lineRule="auto"/>
        <w:ind w:left="178" w:leftChars="85"/>
        <w:rPr>
          <w:rFonts w:hint="eastAsia" w:ascii="宋体" w:hAnsi="宋体"/>
          <w:color w:val="auto"/>
          <w:sz w:val="24"/>
        </w:rPr>
      </w:pPr>
      <w:r>
        <w:rPr>
          <w:rFonts w:hint="eastAsia" w:ascii="宋体" w:hAnsi="宋体"/>
          <w:color w:val="auto"/>
          <w:sz w:val="24"/>
        </w:rPr>
        <w:t>按专业分别填写。</w:t>
      </w:r>
    </w:p>
    <w:p>
      <w:pPr>
        <w:pStyle w:val="60"/>
        <w:spacing w:line="360" w:lineRule="auto"/>
        <w:ind w:left="178" w:leftChars="85"/>
        <w:rPr>
          <w:rFonts w:hint="eastAsia" w:ascii="宋体" w:hAnsi="宋体"/>
          <w:b/>
          <w:color w:val="auto"/>
          <w:sz w:val="24"/>
        </w:rPr>
      </w:pPr>
      <w:r>
        <w:rPr>
          <w:rFonts w:hint="eastAsia" w:ascii="宋体" w:hAnsi="宋体"/>
          <w:b/>
          <w:color w:val="auto"/>
          <w:sz w:val="24"/>
        </w:rPr>
        <w:t>七、总体评价</w:t>
      </w:r>
    </w:p>
    <w:p>
      <w:pPr>
        <w:pStyle w:val="60"/>
        <w:spacing w:line="360" w:lineRule="auto"/>
        <w:ind w:left="178" w:leftChars="85" w:firstLine="480" w:firstLineChars="200"/>
        <w:rPr>
          <w:rFonts w:hint="eastAsia" w:ascii="宋体" w:hAnsi="宋体"/>
          <w:color w:val="auto"/>
          <w:sz w:val="24"/>
        </w:rPr>
      </w:pPr>
      <w:r>
        <w:rPr>
          <w:rFonts w:hint="eastAsia" w:ascii="宋体" w:hAnsi="宋体"/>
          <w:color w:val="auto"/>
          <w:sz w:val="24"/>
        </w:rPr>
        <w:t>要求对整份审核标的合理性，规范性以及偏差等进行简单明了的总体评价。</w:t>
      </w:r>
    </w:p>
    <w:p>
      <w:pPr>
        <w:pStyle w:val="60"/>
        <w:tabs>
          <w:tab w:val="left" w:pos="4840"/>
        </w:tabs>
        <w:spacing w:line="360" w:lineRule="auto"/>
        <w:ind w:left="178" w:leftChars="85"/>
        <w:rPr>
          <w:rFonts w:hint="eastAsia" w:ascii="宋体" w:hAnsi="宋体"/>
          <w:b/>
          <w:color w:val="auto"/>
          <w:sz w:val="24"/>
        </w:rPr>
      </w:pPr>
      <w:r>
        <w:rPr>
          <w:rFonts w:hint="eastAsia" w:ascii="宋体" w:hAnsi="宋体"/>
          <w:b/>
          <w:color w:val="auto"/>
          <w:sz w:val="24"/>
        </w:rPr>
        <w:t>八、署名盖章</w:t>
      </w:r>
      <w:r>
        <w:rPr>
          <w:rFonts w:hint="eastAsia" w:ascii="宋体" w:hAnsi="宋体"/>
          <w:b/>
          <w:color w:val="auto"/>
          <w:sz w:val="24"/>
        </w:rPr>
        <w:tab/>
      </w:r>
    </w:p>
    <w:p>
      <w:pPr>
        <w:pStyle w:val="60"/>
        <w:spacing w:line="360" w:lineRule="auto"/>
        <w:ind w:left="178" w:leftChars="85" w:firstLine="480" w:firstLineChars="200"/>
        <w:rPr>
          <w:rFonts w:hint="eastAsia" w:ascii="宋体" w:hAnsi="宋体"/>
          <w:color w:val="auto"/>
          <w:sz w:val="24"/>
        </w:rPr>
      </w:pPr>
      <w:r>
        <w:rPr>
          <w:rFonts w:hint="eastAsia" w:ascii="宋体" w:hAnsi="宋体"/>
          <w:color w:val="auto"/>
          <w:sz w:val="24"/>
        </w:rPr>
        <w:t>包括审核人及复核人签名，审核单位盖章，编制日期。</w:t>
      </w:r>
    </w:p>
    <w:p>
      <w:pPr>
        <w:pStyle w:val="60"/>
        <w:spacing w:line="360" w:lineRule="auto"/>
        <w:ind w:left="178" w:leftChars="85"/>
        <w:rPr>
          <w:rFonts w:hint="eastAsia" w:ascii="宋体" w:hAnsi="宋体"/>
          <w:b/>
          <w:color w:val="auto"/>
          <w:sz w:val="24"/>
        </w:rPr>
      </w:pPr>
      <w:r>
        <w:rPr>
          <w:rFonts w:hint="eastAsia" w:ascii="宋体" w:hAnsi="宋体"/>
          <w:b/>
          <w:color w:val="auto"/>
          <w:sz w:val="24"/>
        </w:rPr>
        <w:t>九、附件《审核书》</w:t>
      </w:r>
    </w:p>
    <w:p>
      <w:pPr>
        <w:pStyle w:val="60"/>
        <w:spacing w:line="360" w:lineRule="auto"/>
        <w:ind w:left="178" w:leftChars="85" w:firstLine="480" w:firstLineChars="200"/>
        <w:rPr>
          <w:rFonts w:hint="eastAsia" w:ascii="宋体" w:hAnsi="宋体"/>
          <w:b/>
          <w:color w:val="auto"/>
          <w:kern w:val="0"/>
          <w:sz w:val="24"/>
        </w:rPr>
      </w:pPr>
      <w:r>
        <w:rPr>
          <w:rFonts w:hint="eastAsia" w:ascii="宋体" w:hAnsi="宋体"/>
          <w:color w:val="auto"/>
          <w:sz w:val="24"/>
        </w:rPr>
        <w:t>经审核确认的招标控制价或结算书。</w:t>
      </w:r>
    </w:p>
    <w:p>
      <w:pPr>
        <w:pStyle w:val="60"/>
        <w:spacing w:line="360" w:lineRule="auto"/>
        <w:rPr>
          <w:rFonts w:hint="eastAsia" w:ascii="宋体" w:hAnsi="宋体"/>
          <w:b/>
          <w:color w:val="auto"/>
          <w:kern w:val="0"/>
          <w:sz w:val="24"/>
        </w:rPr>
      </w:pPr>
      <w:r>
        <w:rPr>
          <w:rFonts w:hint="eastAsia" w:ascii="宋体" w:hAnsi="宋体"/>
          <w:b/>
          <w:color w:val="auto"/>
          <w:kern w:val="0"/>
          <w:sz w:val="24"/>
        </w:rPr>
        <w:br w:type="page"/>
      </w:r>
      <w:r>
        <w:rPr>
          <w:rFonts w:hint="eastAsia" w:ascii="宋体" w:hAnsi="宋体"/>
          <w:b/>
          <w:color w:val="auto"/>
          <w:kern w:val="0"/>
          <w:sz w:val="28"/>
        </w:rPr>
        <w:t>附件二：</w:t>
      </w:r>
    </w:p>
    <w:p>
      <w:pPr>
        <w:pStyle w:val="60"/>
        <w:spacing w:line="360" w:lineRule="auto"/>
        <w:jc w:val="center"/>
        <w:rPr>
          <w:rFonts w:hint="eastAsia" w:ascii="宋体" w:hAnsi="宋体"/>
          <w:b/>
          <w:bCs/>
          <w:color w:val="auto"/>
          <w:kern w:val="0"/>
          <w:sz w:val="24"/>
          <w:szCs w:val="32"/>
        </w:rPr>
      </w:pPr>
      <w:r>
        <w:rPr>
          <w:rFonts w:hint="eastAsia" w:ascii="宋体" w:hAnsi="宋体"/>
          <w:b/>
          <w:bCs/>
          <w:color w:val="auto"/>
          <w:sz w:val="30"/>
          <w:szCs w:val="32"/>
          <w:u w:val="single"/>
        </w:rPr>
        <w:t>　　　</w:t>
      </w:r>
      <w:r>
        <w:rPr>
          <w:rFonts w:hint="eastAsia" w:ascii="宋体" w:hAnsi="宋体"/>
          <w:b/>
          <w:bCs/>
          <w:color w:val="auto"/>
          <w:kern w:val="0"/>
          <w:sz w:val="24"/>
          <w:szCs w:val="32"/>
        </w:rPr>
        <w:t>县财政局单项委托审核工作考核表</w:t>
      </w:r>
    </w:p>
    <w:tbl>
      <w:tblPr>
        <w:tblStyle w:val="30"/>
        <w:tblW w:w="9559" w:type="dxa"/>
        <w:jc w:val="center"/>
        <w:tblInd w:w="0" w:type="dxa"/>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
      <w:tblGrid>
        <w:gridCol w:w="905"/>
        <w:gridCol w:w="809"/>
        <w:gridCol w:w="101"/>
        <w:gridCol w:w="2390"/>
        <w:gridCol w:w="1750"/>
        <w:gridCol w:w="1924"/>
        <w:gridCol w:w="795"/>
        <w:gridCol w:w="885"/>
      </w:tblGrid>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544" w:hRule="atLeast"/>
          <w:jc w:val="center"/>
        </w:trPr>
        <w:tc>
          <w:tcPr>
            <w:tcW w:w="1714" w:type="dxa"/>
            <w:gridSpan w:val="2"/>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中介机构名称</w:t>
            </w:r>
          </w:p>
        </w:tc>
        <w:tc>
          <w:tcPr>
            <w:tcW w:w="7845" w:type="dxa"/>
            <w:gridSpan w:val="6"/>
            <w:vAlign w:val="center"/>
          </w:tcPr>
          <w:p>
            <w:pPr>
              <w:pStyle w:val="60"/>
              <w:widowControl/>
              <w:jc w:val="center"/>
              <w:rPr>
                <w:rFonts w:hint="eastAsia" w:ascii="宋体" w:hAnsi="宋体"/>
                <w:color w:val="auto"/>
                <w:kern w:val="0"/>
                <w:sz w:val="24"/>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552" w:hRule="atLeast"/>
          <w:jc w:val="center"/>
        </w:trPr>
        <w:tc>
          <w:tcPr>
            <w:tcW w:w="1714" w:type="dxa"/>
            <w:gridSpan w:val="2"/>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评审项目名称</w:t>
            </w:r>
          </w:p>
        </w:tc>
        <w:tc>
          <w:tcPr>
            <w:tcW w:w="7845" w:type="dxa"/>
            <w:gridSpan w:val="6"/>
            <w:vAlign w:val="center"/>
          </w:tcPr>
          <w:p>
            <w:pPr>
              <w:pStyle w:val="60"/>
              <w:widowControl/>
              <w:jc w:val="center"/>
              <w:rPr>
                <w:rFonts w:hint="eastAsia" w:ascii="宋体" w:hAnsi="宋体"/>
                <w:color w:val="auto"/>
                <w:kern w:val="0"/>
                <w:sz w:val="24"/>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573" w:hRule="atLeast"/>
          <w:jc w:val="center"/>
        </w:trPr>
        <w:tc>
          <w:tcPr>
            <w:tcW w:w="1714" w:type="dxa"/>
            <w:gridSpan w:val="2"/>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评审项目分类</w:t>
            </w:r>
          </w:p>
        </w:tc>
        <w:tc>
          <w:tcPr>
            <w:tcW w:w="7845" w:type="dxa"/>
            <w:gridSpan w:val="6"/>
            <w:vAlign w:val="center"/>
          </w:tcPr>
          <w:p>
            <w:pPr>
              <w:pStyle w:val="60"/>
              <w:widowControl/>
              <w:ind w:firstLine="240" w:firstLineChars="100"/>
              <w:rPr>
                <w:rFonts w:hint="eastAsia" w:ascii="宋体" w:hAnsi="宋体"/>
                <w:color w:val="auto"/>
                <w:kern w:val="0"/>
                <w:sz w:val="24"/>
              </w:rPr>
            </w:pPr>
            <w:r>
              <w:rPr>
                <w:rFonts w:hint="eastAsia" w:ascii="宋体" w:hAnsi="宋体"/>
                <w:color w:val="auto"/>
                <w:kern w:val="0"/>
                <w:sz w:val="24"/>
              </w:rPr>
              <w:t>□估算   □概算     □最高限价    □工程变更    □结算</w:t>
            </w: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412" w:hRule="atLeast"/>
          <w:jc w:val="center"/>
        </w:trPr>
        <w:tc>
          <w:tcPr>
            <w:tcW w:w="1714" w:type="dxa"/>
            <w:gridSpan w:val="2"/>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送审金额</w:t>
            </w:r>
          </w:p>
        </w:tc>
        <w:tc>
          <w:tcPr>
            <w:tcW w:w="2491" w:type="dxa"/>
            <w:gridSpan w:val="2"/>
            <w:vAlign w:val="center"/>
          </w:tcPr>
          <w:p>
            <w:pPr>
              <w:pStyle w:val="60"/>
              <w:widowControl/>
              <w:jc w:val="center"/>
              <w:rPr>
                <w:rFonts w:hint="eastAsia" w:ascii="宋体" w:hAnsi="宋体"/>
                <w:color w:val="auto"/>
                <w:kern w:val="0"/>
                <w:sz w:val="24"/>
                <w:szCs w:val="21"/>
              </w:rPr>
            </w:pPr>
          </w:p>
        </w:tc>
        <w:tc>
          <w:tcPr>
            <w:tcW w:w="1750" w:type="dxa"/>
            <w:vAlign w:val="center"/>
          </w:tcPr>
          <w:p>
            <w:pPr>
              <w:pStyle w:val="60"/>
              <w:widowControl/>
              <w:jc w:val="left"/>
              <w:rPr>
                <w:rFonts w:hint="eastAsia" w:ascii="宋体" w:hAnsi="宋体"/>
                <w:color w:val="auto"/>
                <w:kern w:val="0"/>
                <w:sz w:val="24"/>
                <w:szCs w:val="21"/>
              </w:rPr>
            </w:pPr>
            <w:r>
              <w:rPr>
                <w:rFonts w:hint="eastAsia" w:ascii="宋体" w:hAnsi="宋体"/>
                <w:color w:val="auto"/>
                <w:kern w:val="0"/>
                <w:sz w:val="24"/>
                <w:szCs w:val="21"/>
              </w:rPr>
              <w:t>评审开始时间</w:t>
            </w:r>
          </w:p>
        </w:tc>
        <w:tc>
          <w:tcPr>
            <w:tcW w:w="1924" w:type="dxa"/>
            <w:vAlign w:val="center"/>
          </w:tcPr>
          <w:p>
            <w:pPr>
              <w:pStyle w:val="60"/>
              <w:widowControl/>
              <w:jc w:val="left"/>
              <w:rPr>
                <w:rFonts w:hint="eastAsia" w:ascii="宋体" w:hAnsi="宋体"/>
                <w:color w:val="auto"/>
                <w:kern w:val="0"/>
                <w:sz w:val="24"/>
                <w:szCs w:val="21"/>
              </w:rPr>
            </w:pPr>
          </w:p>
        </w:tc>
        <w:tc>
          <w:tcPr>
            <w:tcW w:w="1680" w:type="dxa"/>
            <w:gridSpan w:val="2"/>
            <w:vMerge w:val="restart"/>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Cs w:val="21"/>
              </w:rPr>
              <w:t>备注：本表合格分数为60分。</w:t>
            </w: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417" w:hRule="atLeast"/>
          <w:jc w:val="center"/>
        </w:trPr>
        <w:tc>
          <w:tcPr>
            <w:tcW w:w="1714" w:type="dxa"/>
            <w:gridSpan w:val="2"/>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审定金额</w:t>
            </w:r>
          </w:p>
        </w:tc>
        <w:tc>
          <w:tcPr>
            <w:tcW w:w="2491" w:type="dxa"/>
            <w:gridSpan w:val="2"/>
            <w:vAlign w:val="center"/>
          </w:tcPr>
          <w:p>
            <w:pPr>
              <w:pStyle w:val="60"/>
              <w:widowControl/>
              <w:jc w:val="center"/>
              <w:rPr>
                <w:rFonts w:hint="eastAsia" w:ascii="宋体" w:hAnsi="宋体"/>
                <w:color w:val="auto"/>
                <w:kern w:val="0"/>
                <w:sz w:val="24"/>
                <w:szCs w:val="21"/>
              </w:rPr>
            </w:pPr>
          </w:p>
        </w:tc>
        <w:tc>
          <w:tcPr>
            <w:tcW w:w="1750" w:type="dxa"/>
            <w:vAlign w:val="center"/>
          </w:tcPr>
          <w:p>
            <w:pPr>
              <w:pStyle w:val="60"/>
              <w:widowControl/>
              <w:jc w:val="left"/>
              <w:rPr>
                <w:rFonts w:hint="eastAsia" w:ascii="宋体" w:hAnsi="宋体"/>
                <w:color w:val="auto"/>
                <w:kern w:val="0"/>
                <w:sz w:val="24"/>
                <w:szCs w:val="21"/>
              </w:rPr>
            </w:pPr>
            <w:r>
              <w:rPr>
                <w:rFonts w:hint="eastAsia" w:ascii="宋体" w:hAnsi="宋体"/>
                <w:color w:val="auto"/>
                <w:kern w:val="0"/>
                <w:sz w:val="24"/>
                <w:szCs w:val="21"/>
              </w:rPr>
              <w:t>出具初稿时间</w:t>
            </w:r>
          </w:p>
        </w:tc>
        <w:tc>
          <w:tcPr>
            <w:tcW w:w="1924" w:type="dxa"/>
            <w:vAlign w:val="center"/>
          </w:tcPr>
          <w:p>
            <w:pPr>
              <w:pStyle w:val="60"/>
              <w:widowControl/>
              <w:rPr>
                <w:rFonts w:hint="eastAsia" w:ascii="宋体" w:hAnsi="宋体"/>
                <w:color w:val="auto"/>
                <w:kern w:val="0"/>
                <w:sz w:val="24"/>
                <w:szCs w:val="21"/>
              </w:rPr>
            </w:pPr>
          </w:p>
        </w:tc>
        <w:tc>
          <w:tcPr>
            <w:tcW w:w="1680" w:type="dxa"/>
            <w:gridSpan w:val="2"/>
            <w:vMerge w:val="continue"/>
            <w:vAlign w:val="center"/>
          </w:tcPr>
          <w:p>
            <w:pPr>
              <w:pStyle w:val="60"/>
              <w:widowControl/>
              <w:jc w:val="left"/>
              <w:rPr>
                <w:rFonts w:hint="eastAsia" w:ascii="宋体" w:hAnsi="宋体"/>
                <w:color w:val="auto"/>
                <w:kern w:val="0"/>
                <w:sz w:val="24"/>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423" w:hRule="atLeast"/>
          <w:jc w:val="center"/>
        </w:trPr>
        <w:tc>
          <w:tcPr>
            <w:tcW w:w="1714" w:type="dxa"/>
            <w:gridSpan w:val="2"/>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核减率</w:t>
            </w:r>
          </w:p>
        </w:tc>
        <w:tc>
          <w:tcPr>
            <w:tcW w:w="2491" w:type="dxa"/>
            <w:gridSpan w:val="2"/>
            <w:vAlign w:val="center"/>
          </w:tcPr>
          <w:p>
            <w:pPr>
              <w:pStyle w:val="60"/>
              <w:widowControl/>
              <w:jc w:val="center"/>
              <w:rPr>
                <w:rFonts w:hint="eastAsia" w:ascii="宋体" w:hAnsi="宋体"/>
                <w:color w:val="auto"/>
                <w:kern w:val="0"/>
                <w:sz w:val="24"/>
                <w:szCs w:val="21"/>
              </w:rPr>
            </w:pPr>
          </w:p>
        </w:tc>
        <w:tc>
          <w:tcPr>
            <w:tcW w:w="1750" w:type="dxa"/>
            <w:vAlign w:val="center"/>
          </w:tcPr>
          <w:p>
            <w:pPr>
              <w:pStyle w:val="60"/>
              <w:widowControl/>
              <w:jc w:val="left"/>
              <w:rPr>
                <w:rFonts w:hint="eastAsia" w:ascii="宋体" w:hAnsi="宋体"/>
                <w:color w:val="auto"/>
                <w:kern w:val="0"/>
                <w:sz w:val="24"/>
                <w:szCs w:val="21"/>
              </w:rPr>
            </w:pPr>
            <w:r>
              <w:rPr>
                <w:rFonts w:hint="eastAsia" w:ascii="宋体" w:hAnsi="宋体"/>
                <w:color w:val="auto"/>
                <w:kern w:val="0"/>
                <w:sz w:val="24"/>
                <w:szCs w:val="21"/>
              </w:rPr>
              <w:t>评审结束时间</w:t>
            </w:r>
          </w:p>
        </w:tc>
        <w:tc>
          <w:tcPr>
            <w:tcW w:w="1924" w:type="dxa"/>
            <w:vAlign w:val="center"/>
          </w:tcPr>
          <w:p>
            <w:pPr>
              <w:pStyle w:val="60"/>
              <w:widowControl/>
              <w:rPr>
                <w:rFonts w:hint="eastAsia" w:ascii="宋体" w:hAnsi="宋体"/>
                <w:color w:val="auto"/>
                <w:kern w:val="0"/>
                <w:sz w:val="24"/>
                <w:szCs w:val="21"/>
              </w:rPr>
            </w:pPr>
          </w:p>
        </w:tc>
        <w:tc>
          <w:tcPr>
            <w:tcW w:w="1680" w:type="dxa"/>
            <w:gridSpan w:val="2"/>
            <w:vMerge w:val="continue"/>
            <w:vAlign w:val="center"/>
          </w:tcPr>
          <w:p>
            <w:pPr>
              <w:pStyle w:val="60"/>
              <w:widowControl/>
              <w:jc w:val="left"/>
              <w:rPr>
                <w:rFonts w:hint="eastAsia" w:ascii="宋体" w:hAnsi="宋体"/>
                <w:color w:val="auto"/>
                <w:kern w:val="0"/>
                <w:sz w:val="24"/>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570" w:hRule="atLeast"/>
          <w:jc w:val="center"/>
        </w:trPr>
        <w:tc>
          <w:tcPr>
            <w:tcW w:w="905" w:type="dxa"/>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考核</w:t>
            </w:r>
          </w:p>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项目</w:t>
            </w:r>
          </w:p>
        </w:tc>
        <w:tc>
          <w:tcPr>
            <w:tcW w:w="809" w:type="dxa"/>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编号</w:t>
            </w:r>
          </w:p>
        </w:tc>
        <w:tc>
          <w:tcPr>
            <w:tcW w:w="6165" w:type="dxa"/>
            <w:gridSpan w:val="4"/>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考核内容</w:t>
            </w:r>
          </w:p>
        </w:tc>
        <w:tc>
          <w:tcPr>
            <w:tcW w:w="795" w:type="dxa"/>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标准  分值</w:t>
            </w:r>
          </w:p>
        </w:tc>
        <w:tc>
          <w:tcPr>
            <w:tcW w:w="885" w:type="dxa"/>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得分</w:t>
            </w: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449" w:hRule="atLeast"/>
          <w:jc w:val="center"/>
        </w:trPr>
        <w:tc>
          <w:tcPr>
            <w:tcW w:w="905" w:type="dxa"/>
            <w:vMerge w:val="restart"/>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评审工作质量</w:t>
            </w:r>
          </w:p>
        </w:tc>
        <w:tc>
          <w:tcPr>
            <w:tcW w:w="809" w:type="dxa"/>
            <w:vAlign w:val="center"/>
          </w:tcPr>
          <w:p>
            <w:pPr>
              <w:pStyle w:val="60"/>
              <w:widowControl/>
              <w:jc w:val="center"/>
              <w:rPr>
                <w:rFonts w:hint="eastAsia" w:ascii="宋体" w:hAnsi="宋体"/>
                <w:color w:val="auto"/>
                <w:kern w:val="0"/>
                <w:szCs w:val="21"/>
              </w:rPr>
            </w:pPr>
            <w:r>
              <w:rPr>
                <w:rFonts w:hint="eastAsia" w:ascii="宋体" w:hAnsi="宋体"/>
                <w:color w:val="auto"/>
                <w:kern w:val="0"/>
                <w:szCs w:val="21"/>
              </w:rPr>
              <w:t>1</w:t>
            </w:r>
          </w:p>
        </w:tc>
        <w:tc>
          <w:tcPr>
            <w:tcW w:w="6165" w:type="dxa"/>
            <w:gridSpan w:val="4"/>
            <w:vAlign w:val="center"/>
          </w:tcPr>
          <w:p>
            <w:pPr>
              <w:pStyle w:val="60"/>
              <w:widowControl/>
              <w:jc w:val="left"/>
              <w:rPr>
                <w:rFonts w:hint="eastAsia" w:ascii="宋体" w:hAnsi="宋体"/>
                <w:color w:val="auto"/>
                <w:kern w:val="0"/>
                <w:szCs w:val="21"/>
              </w:rPr>
            </w:pPr>
            <w:r>
              <w:rPr>
                <w:rFonts w:hint="eastAsia" w:ascii="宋体" w:hAnsi="宋体"/>
                <w:color w:val="auto"/>
                <w:kern w:val="0"/>
                <w:szCs w:val="21"/>
              </w:rPr>
              <w:t>评审依据是否准确、完整；引用资料是否详实。</w:t>
            </w:r>
          </w:p>
        </w:tc>
        <w:tc>
          <w:tcPr>
            <w:tcW w:w="795" w:type="dxa"/>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7</w:t>
            </w:r>
          </w:p>
        </w:tc>
        <w:tc>
          <w:tcPr>
            <w:tcW w:w="885" w:type="dxa"/>
            <w:vAlign w:val="center"/>
          </w:tcPr>
          <w:p>
            <w:pPr>
              <w:pStyle w:val="60"/>
              <w:widowControl/>
              <w:jc w:val="center"/>
              <w:rPr>
                <w:rFonts w:hint="eastAsia" w:ascii="宋体" w:hAnsi="宋体"/>
                <w:color w:val="auto"/>
                <w:kern w:val="0"/>
                <w:sz w:val="24"/>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600" w:hRule="atLeast"/>
          <w:jc w:val="center"/>
        </w:trPr>
        <w:tc>
          <w:tcPr>
            <w:tcW w:w="905" w:type="dxa"/>
            <w:vMerge w:val="continue"/>
            <w:vAlign w:val="center"/>
          </w:tcPr>
          <w:p>
            <w:pPr>
              <w:pStyle w:val="60"/>
              <w:widowControl/>
              <w:jc w:val="left"/>
              <w:rPr>
                <w:rFonts w:hint="eastAsia" w:ascii="宋体" w:hAnsi="宋体"/>
                <w:color w:val="auto"/>
                <w:kern w:val="0"/>
                <w:sz w:val="24"/>
                <w:szCs w:val="21"/>
              </w:rPr>
            </w:pPr>
          </w:p>
        </w:tc>
        <w:tc>
          <w:tcPr>
            <w:tcW w:w="809" w:type="dxa"/>
            <w:vAlign w:val="center"/>
          </w:tcPr>
          <w:p>
            <w:pPr>
              <w:pStyle w:val="60"/>
              <w:widowControl/>
              <w:jc w:val="center"/>
              <w:rPr>
                <w:rFonts w:hint="eastAsia" w:ascii="宋体" w:hAnsi="宋体"/>
                <w:color w:val="auto"/>
                <w:kern w:val="0"/>
                <w:szCs w:val="21"/>
              </w:rPr>
            </w:pPr>
            <w:r>
              <w:rPr>
                <w:rFonts w:hint="eastAsia" w:ascii="宋体" w:hAnsi="宋体"/>
                <w:color w:val="auto"/>
                <w:kern w:val="0"/>
                <w:szCs w:val="21"/>
              </w:rPr>
              <w:t>2</w:t>
            </w:r>
          </w:p>
        </w:tc>
        <w:tc>
          <w:tcPr>
            <w:tcW w:w="6165" w:type="dxa"/>
            <w:gridSpan w:val="4"/>
            <w:vAlign w:val="center"/>
          </w:tcPr>
          <w:p>
            <w:pPr>
              <w:pStyle w:val="60"/>
              <w:jc w:val="left"/>
              <w:rPr>
                <w:rFonts w:hint="eastAsia" w:ascii="宋体" w:hAnsi="宋体"/>
                <w:color w:val="auto"/>
                <w:kern w:val="0"/>
                <w:szCs w:val="21"/>
              </w:rPr>
            </w:pPr>
            <w:r>
              <w:rPr>
                <w:rFonts w:hint="eastAsia" w:ascii="宋体" w:hAnsi="宋体"/>
                <w:color w:val="auto"/>
                <w:kern w:val="0"/>
                <w:szCs w:val="21"/>
              </w:rPr>
              <w:t>评审内容是否完整；评审报告格式是否规范；初审报告和终审报告意见有无差异。</w:t>
            </w:r>
          </w:p>
        </w:tc>
        <w:tc>
          <w:tcPr>
            <w:tcW w:w="795" w:type="dxa"/>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8</w:t>
            </w:r>
          </w:p>
        </w:tc>
        <w:tc>
          <w:tcPr>
            <w:tcW w:w="885" w:type="dxa"/>
            <w:vAlign w:val="center"/>
          </w:tcPr>
          <w:p>
            <w:pPr>
              <w:pStyle w:val="60"/>
              <w:widowControl/>
              <w:jc w:val="center"/>
              <w:rPr>
                <w:rFonts w:hint="eastAsia" w:ascii="宋体" w:hAnsi="宋体"/>
                <w:color w:val="auto"/>
                <w:kern w:val="0"/>
                <w:sz w:val="24"/>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637" w:hRule="atLeast"/>
          <w:jc w:val="center"/>
        </w:trPr>
        <w:tc>
          <w:tcPr>
            <w:tcW w:w="905" w:type="dxa"/>
            <w:vMerge w:val="continue"/>
            <w:vAlign w:val="center"/>
          </w:tcPr>
          <w:p>
            <w:pPr>
              <w:pStyle w:val="60"/>
              <w:widowControl/>
              <w:jc w:val="left"/>
              <w:rPr>
                <w:rFonts w:hint="eastAsia" w:ascii="宋体" w:hAnsi="宋体"/>
                <w:color w:val="auto"/>
                <w:kern w:val="0"/>
                <w:sz w:val="24"/>
                <w:szCs w:val="21"/>
              </w:rPr>
            </w:pPr>
          </w:p>
        </w:tc>
        <w:tc>
          <w:tcPr>
            <w:tcW w:w="809" w:type="dxa"/>
            <w:vAlign w:val="center"/>
          </w:tcPr>
          <w:p>
            <w:pPr>
              <w:pStyle w:val="60"/>
              <w:widowControl/>
              <w:jc w:val="center"/>
              <w:rPr>
                <w:rFonts w:hint="eastAsia" w:ascii="宋体" w:hAnsi="宋体"/>
                <w:color w:val="auto"/>
                <w:kern w:val="0"/>
                <w:szCs w:val="21"/>
              </w:rPr>
            </w:pPr>
            <w:r>
              <w:rPr>
                <w:rFonts w:hint="eastAsia" w:ascii="宋体" w:hAnsi="宋体"/>
                <w:color w:val="auto"/>
                <w:kern w:val="0"/>
                <w:szCs w:val="21"/>
              </w:rPr>
              <w:t>3</w:t>
            </w:r>
          </w:p>
        </w:tc>
        <w:tc>
          <w:tcPr>
            <w:tcW w:w="6165" w:type="dxa"/>
            <w:gridSpan w:val="4"/>
            <w:vAlign w:val="center"/>
          </w:tcPr>
          <w:p>
            <w:pPr>
              <w:pStyle w:val="60"/>
              <w:jc w:val="left"/>
              <w:rPr>
                <w:rFonts w:hint="eastAsia" w:ascii="宋体" w:hAnsi="宋体"/>
                <w:color w:val="auto"/>
                <w:kern w:val="0"/>
                <w:szCs w:val="21"/>
              </w:rPr>
            </w:pPr>
            <w:r>
              <w:rPr>
                <w:rFonts w:hint="eastAsia" w:ascii="宋体" w:hAnsi="宋体"/>
                <w:color w:val="auto"/>
                <w:kern w:val="0"/>
                <w:szCs w:val="21"/>
              </w:rPr>
              <w:t>工程量计算是否准确、单价和各项费用的核实是否正确、合理，评审工作有无重大失误或漏项。</w:t>
            </w:r>
          </w:p>
        </w:tc>
        <w:tc>
          <w:tcPr>
            <w:tcW w:w="795" w:type="dxa"/>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50</w:t>
            </w:r>
          </w:p>
        </w:tc>
        <w:tc>
          <w:tcPr>
            <w:tcW w:w="885" w:type="dxa"/>
            <w:vAlign w:val="center"/>
          </w:tcPr>
          <w:p>
            <w:pPr>
              <w:pStyle w:val="60"/>
              <w:widowControl/>
              <w:jc w:val="center"/>
              <w:rPr>
                <w:rFonts w:hint="eastAsia" w:ascii="宋体" w:hAnsi="宋体"/>
                <w:color w:val="auto"/>
                <w:kern w:val="0"/>
                <w:sz w:val="24"/>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369" w:hRule="atLeast"/>
          <w:jc w:val="center"/>
        </w:trPr>
        <w:tc>
          <w:tcPr>
            <w:tcW w:w="905" w:type="dxa"/>
            <w:vMerge w:val="continue"/>
            <w:vAlign w:val="center"/>
          </w:tcPr>
          <w:p>
            <w:pPr>
              <w:pStyle w:val="60"/>
              <w:widowControl/>
              <w:jc w:val="left"/>
              <w:rPr>
                <w:rFonts w:hint="eastAsia" w:ascii="宋体" w:hAnsi="宋体"/>
                <w:color w:val="auto"/>
                <w:kern w:val="0"/>
                <w:sz w:val="24"/>
                <w:szCs w:val="21"/>
              </w:rPr>
            </w:pPr>
          </w:p>
        </w:tc>
        <w:tc>
          <w:tcPr>
            <w:tcW w:w="809" w:type="dxa"/>
            <w:vAlign w:val="center"/>
          </w:tcPr>
          <w:p>
            <w:pPr>
              <w:pStyle w:val="60"/>
              <w:widowControl/>
              <w:jc w:val="center"/>
              <w:rPr>
                <w:rFonts w:hint="eastAsia" w:ascii="宋体" w:hAnsi="宋体"/>
                <w:color w:val="auto"/>
                <w:kern w:val="0"/>
                <w:szCs w:val="21"/>
              </w:rPr>
            </w:pPr>
            <w:r>
              <w:rPr>
                <w:rFonts w:hint="eastAsia" w:ascii="宋体" w:hAnsi="宋体"/>
                <w:color w:val="auto"/>
                <w:kern w:val="0"/>
                <w:szCs w:val="21"/>
              </w:rPr>
              <w:t>4</w:t>
            </w:r>
          </w:p>
        </w:tc>
        <w:tc>
          <w:tcPr>
            <w:tcW w:w="6165" w:type="dxa"/>
            <w:gridSpan w:val="4"/>
            <w:vAlign w:val="center"/>
          </w:tcPr>
          <w:p>
            <w:pPr>
              <w:pStyle w:val="60"/>
              <w:widowControl/>
              <w:rPr>
                <w:rFonts w:hint="eastAsia" w:ascii="宋体" w:hAnsi="宋体"/>
                <w:color w:val="auto"/>
                <w:kern w:val="0"/>
                <w:szCs w:val="21"/>
              </w:rPr>
            </w:pPr>
            <w:r>
              <w:rPr>
                <w:rFonts w:hint="eastAsia" w:ascii="宋体" w:hAnsi="宋体"/>
                <w:color w:val="auto"/>
                <w:kern w:val="0"/>
                <w:szCs w:val="21"/>
              </w:rPr>
              <w:t>现场查勘记录及相片（根据技术交底要求）。</w:t>
            </w:r>
          </w:p>
        </w:tc>
        <w:tc>
          <w:tcPr>
            <w:tcW w:w="795" w:type="dxa"/>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8</w:t>
            </w:r>
          </w:p>
        </w:tc>
        <w:tc>
          <w:tcPr>
            <w:tcW w:w="885" w:type="dxa"/>
            <w:vAlign w:val="center"/>
          </w:tcPr>
          <w:p>
            <w:pPr>
              <w:pStyle w:val="60"/>
              <w:widowControl/>
              <w:jc w:val="center"/>
              <w:rPr>
                <w:rFonts w:hint="eastAsia" w:ascii="宋体" w:hAnsi="宋体"/>
                <w:color w:val="auto"/>
                <w:kern w:val="0"/>
                <w:sz w:val="24"/>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471" w:hRule="atLeast"/>
          <w:jc w:val="center"/>
        </w:trPr>
        <w:tc>
          <w:tcPr>
            <w:tcW w:w="905" w:type="dxa"/>
            <w:vMerge w:val="continue"/>
            <w:vAlign w:val="center"/>
          </w:tcPr>
          <w:p>
            <w:pPr>
              <w:pStyle w:val="60"/>
              <w:widowControl/>
              <w:jc w:val="left"/>
              <w:rPr>
                <w:rFonts w:hint="eastAsia" w:ascii="宋体" w:hAnsi="宋体"/>
                <w:color w:val="auto"/>
                <w:kern w:val="0"/>
                <w:sz w:val="24"/>
                <w:szCs w:val="21"/>
              </w:rPr>
            </w:pPr>
          </w:p>
        </w:tc>
        <w:tc>
          <w:tcPr>
            <w:tcW w:w="809" w:type="dxa"/>
            <w:vAlign w:val="center"/>
          </w:tcPr>
          <w:p>
            <w:pPr>
              <w:pStyle w:val="60"/>
              <w:widowControl/>
              <w:jc w:val="center"/>
              <w:rPr>
                <w:rFonts w:hint="eastAsia" w:ascii="宋体" w:hAnsi="宋体"/>
                <w:color w:val="auto"/>
                <w:kern w:val="0"/>
                <w:szCs w:val="21"/>
              </w:rPr>
            </w:pPr>
            <w:r>
              <w:rPr>
                <w:rFonts w:hint="eastAsia" w:ascii="宋体" w:hAnsi="宋体"/>
                <w:color w:val="auto"/>
                <w:kern w:val="0"/>
                <w:szCs w:val="21"/>
              </w:rPr>
              <w:t>5</w:t>
            </w:r>
          </w:p>
        </w:tc>
        <w:tc>
          <w:tcPr>
            <w:tcW w:w="6165" w:type="dxa"/>
            <w:gridSpan w:val="4"/>
            <w:vAlign w:val="center"/>
          </w:tcPr>
          <w:p>
            <w:pPr>
              <w:pStyle w:val="60"/>
              <w:widowControl/>
              <w:rPr>
                <w:rFonts w:hint="eastAsia" w:ascii="宋体" w:hAnsi="宋体"/>
                <w:color w:val="auto"/>
                <w:kern w:val="0"/>
                <w:szCs w:val="21"/>
              </w:rPr>
            </w:pPr>
            <w:r>
              <w:rPr>
                <w:rFonts w:hint="eastAsia" w:ascii="宋体" w:hAnsi="宋体"/>
                <w:color w:val="auto"/>
                <w:kern w:val="0"/>
                <w:szCs w:val="21"/>
              </w:rPr>
              <w:t>按时提交评审工作报告。</w:t>
            </w:r>
          </w:p>
        </w:tc>
        <w:tc>
          <w:tcPr>
            <w:tcW w:w="795" w:type="dxa"/>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8</w:t>
            </w:r>
          </w:p>
        </w:tc>
        <w:tc>
          <w:tcPr>
            <w:tcW w:w="885" w:type="dxa"/>
            <w:vAlign w:val="center"/>
          </w:tcPr>
          <w:p>
            <w:pPr>
              <w:pStyle w:val="60"/>
              <w:widowControl/>
              <w:jc w:val="center"/>
              <w:rPr>
                <w:rFonts w:hint="eastAsia" w:ascii="宋体" w:hAnsi="宋体"/>
                <w:color w:val="auto"/>
                <w:kern w:val="0"/>
                <w:sz w:val="24"/>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569" w:hRule="atLeast"/>
          <w:jc w:val="center"/>
        </w:trPr>
        <w:tc>
          <w:tcPr>
            <w:tcW w:w="905" w:type="dxa"/>
            <w:vMerge w:val="restart"/>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评审服务</w:t>
            </w:r>
          </w:p>
        </w:tc>
        <w:tc>
          <w:tcPr>
            <w:tcW w:w="809" w:type="dxa"/>
            <w:vMerge w:val="restart"/>
            <w:vAlign w:val="center"/>
          </w:tcPr>
          <w:p>
            <w:pPr>
              <w:pStyle w:val="60"/>
              <w:widowControl/>
              <w:jc w:val="center"/>
              <w:rPr>
                <w:rFonts w:hint="eastAsia" w:ascii="宋体" w:hAnsi="宋体"/>
                <w:color w:val="auto"/>
                <w:kern w:val="0"/>
                <w:szCs w:val="21"/>
              </w:rPr>
            </w:pPr>
            <w:r>
              <w:rPr>
                <w:rFonts w:hint="eastAsia" w:ascii="宋体" w:hAnsi="宋体"/>
                <w:color w:val="auto"/>
                <w:kern w:val="0"/>
                <w:szCs w:val="21"/>
              </w:rPr>
              <w:t>6</w:t>
            </w:r>
          </w:p>
        </w:tc>
        <w:tc>
          <w:tcPr>
            <w:tcW w:w="6165" w:type="dxa"/>
            <w:gridSpan w:val="4"/>
            <w:vAlign w:val="center"/>
          </w:tcPr>
          <w:p>
            <w:pPr>
              <w:pStyle w:val="60"/>
              <w:jc w:val="left"/>
              <w:rPr>
                <w:rFonts w:hint="eastAsia" w:ascii="宋体" w:hAnsi="宋体"/>
                <w:color w:val="auto"/>
                <w:kern w:val="0"/>
                <w:szCs w:val="21"/>
              </w:rPr>
            </w:pPr>
            <w:r>
              <w:rPr>
                <w:rFonts w:hint="eastAsia" w:ascii="宋体" w:hAnsi="宋体"/>
                <w:color w:val="auto"/>
                <w:kern w:val="0"/>
                <w:szCs w:val="21"/>
              </w:rPr>
              <w:t>是否选派已报委托人备案评审人员评审；评审期间人员变动有无经委托人同意。</w:t>
            </w:r>
          </w:p>
        </w:tc>
        <w:tc>
          <w:tcPr>
            <w:tcW w:w="795" w:type="dxa"/>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5</w:t>
            </w:r>
          </w:p>
        </w:tc>
        <w:tc>
          <w:tcPr>
            <w:tcW w:w="885" w:type="dxa"/>
            <w:vAlign w:val="center"/>
          </w:tcPr>
          <w:p>
            <w:pPr>
              <w:pStyle w:val="60"/>
              <w:widowControl/>
              <w:jc w:val="center"/>
              <w:rPr>
                <w:rFonts w:hint="eastAsia" w:ascii="宋体" w:hAnsi="宋体"/>
                <w:color w:val="auto"/>
                <w:kern w:val="0"/>
                <w:sz w:val="24"/>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639" w:hRule="atLeast"/>
          <w:jc w:val="center"/>
        </w:trPr>
        <w:tc>
          <w:tcPr>
            <w:tcW w:w="905" w:type="dxa"/>
            <w:vMerge w:val="continue"/>
            <w:vAlign w:val="center"/>
          </w:tcPr>
          <w:p>
            <w:pPr>
              <w:pStyle w:val="60"/>
              <w:widowControl/>
              <w:jc w:val="center"/>
              <w:rPr>
                <w:rFonts w:hint="eastAsia" w:ascii="宋体" w:hAnsi="宋体"/>
                <w:color w:val="auto"/>
                <w:kern w:val="0"/>
                <w:sz w:val="24"/>
                <w:szCs w:val="21"/>
              </w:rPr>
            </w:pPr>
          </w:p>
        </w:tc>
        <w:tc>
          <w:tcPr>
            <w:tcW w:w="809" w:type="dxa"/>
            <w:vMerge w:val="continue"/>
            <w:vAlign w:val="center"/>
          </w:tcPr>
          <w:p>
            <w:pPr>
              <w:pStyle w:val="60"/>
              <w:widowControl/>
              <w:jc w:val="center"/>
              <w:rPr>
                <w:rFonts w:hint="eastAsia" w:ascii="宋体" w:hAnsi="宋体"/>
                <w:color w:val="auto"/>
                <w:kern w:val="0"/>
                <w:szCs w:val="21"/>
              </w:rPr>
            </w:pPr>
          </w:p>
        </w:tc>
        <w:tc>
          <w:tcPr>
            <w:tcW w:w="6165" w:type="dxa"/>
            <w:gridSpan w:val="4"/>
            <w:vAlign w:val="center"/>
          </w:tcPr>
          <w:p>
            <w:pPr>
              <w:pStyle w:val="60"/>
              <w:jc w:val="left"/>
              <w:rPr>
                <w:rFonts w:hint="eastAsia" w:ascii="宋体" w:hAnsi="宋体"/>
                <w:color w:val="auto"/>
                <w:kern w:val="0"/>
                <w:szCs w:val="21"/>
              </w:rPr>
            </w:pPr>
            <w:r>
              <w:rPr>
                <w:rFonts w:hint="eastAsia" w:ascii="宋体" w:hAnsi="宋体"/>
                <w:color w:val="auto"/>
                <w:kern w:val="0"/>
                <w:szCs w:val="21"/>
              </w:rPr>
              <w:t>遵守公正、客观和独立评审原则，具备较强专业能力、工作经验、沟通能力和独立解决问题。</w:t>
            </w:r>
          </w:p>
        </w:tc>
        <w:tc>
          <w:tcPr>
            <w:tcW w:w="795" w:type="dxa"/>
            <w:vAlign w:val="center"/>
          </w:tcPr>
          <w:p>
            <w:pPr>
              <w:pStyle w:val="60"/>
              <w:jc w:val="center"/>
              <w:rPr>
                <w:rFonts w:hint="eastAsia" w:ascii="宋体" w:hAnsi="宋体"/>
                <w:color w:val="auto"/>
                <w:kern w:val="0"/>
                <w:sz w:val="24"/>
                <w:szCs w:val="21"/>
              </w:rPr>
            </w:pPr>
            <w:r>
              <w:rPr>
                <w:rFonts w:hint="eastAsia" w:ascii="宋体" w:hAnsi="宋体"/>
                <w:color w:val="auto"/>
                <w:kern w:val="0"/>
                <w:sz w:val="24"/>
                <w:szCs w:val="21"/>
              </w:rPr>
              <w:t>7</w:t>
            </w:r>
          </w:p>
        </w:tc>
        <w:tc>
          <w:tcPr>
            <w:tcW w:w="885" w:type="dxa"/>
            <w:vAlign w:val="center"/>
          </w:tcPr>
          <w:p>
            <w:pPr>
              <w:pStyle w:val="60"/>
              <w:jc w:val="center"/>
              <w:rPr>
                <w:rFonts w:hint="eastAsia" w:ascii="宋体" w:hAnsi="宋体"/>
                <w:color w:val="auto"/>
                <w:kern w:val="0"/>
                <w:sz w:val="24"/>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691" w:hRule="atLeast"/>
          <w:jc w:val="center"/>
        </w:trPr>
        <w:tc>
          <w:tcPr>
            <w:tcW w:w="905" w:type="dxa"/>
            <w:vMerge w:val="continue"/>
            <w:vAlign w:val="center"/>
          </w:tcPr>
          <w:p>
            <w:pPr>
              <w:pStyle w:val="60"/>
              <w:widowControl/>
              <w:jc w:val="left"/>
              <w:rPr>
                <w:rFonts w:hint="eastAsia" w:ascii="宋体" w:hAnsi="宋体"/>
                <w:color w:val="auto"/>
                <w:kern w:val="0"/>
                <w:sz w:val="24"/>
                <w:szCs w:val="21"/>
              </w:rPr>
            </w:pPr>
          </w:p>
        </w:tc>
        <w:tc>
          <w:tcPr>
            <w:tcW w:w="809" w:type="dxa"/>
            <w:vMerge w:val="continue"/>
            <w:vAlign w:val="center"/>
          </w:tcPr>
          <w:p>
            <w:pPr>
              <w:pStyle w:val="60"/>
              <w:widowControl/>
              <w:jc w:val="left"/>
              <w:rPr>
                <w:rFonts w:hint="eastAsia" w:ascii="宋体" w:hAnsi="宋体"/>
                <w:color w:val="auto"/>
                <w:kern w:val="0"/>
                <w:szCs w:val="21"/>
              </w:rPr>
            </w:pPr>
          </w:p>
        </w:tc>
        <w:tc>
          <w:tcPr>
            <w:tcW w:w="6165" w:type="dxa"/>
            <w:gridSpan w:val="4"/>
            <w:vAlign w:val="center"/>
          </w:tcPr>
          <w:p>
            <w:pPr>
              <w:pStyle w:val="60"/>
              <w:widowControl/>
              <w:rPr>
                <w:rFonts w:hint="eastAsia" w:ascii="宋体" w:hAnsi="宋体"/>
                <w:color w:val="auto"/>
                <w:kern w:val="0"/>
                <w:szCs w:val="21"/>
              </w:rPr>
            </w:pPr>
            <w:r>
              <w:rPr>
                <w:rFonts w:hint="eastAsia" w:ascii="宋体" w:hAnsi="宋体"/>
                <w:color w:val="auto"/>
                <w:kern w:val="0"/>
                <w:szCs w:val="21"/>
              </w:rPr>
              <w:t>根据委托人指令，在规定响应时间内到达指定现场；能否主动采取有效措施，配合有关单位做好评审工作。</w:t>
            </w:r>
          </w:p>
        </w:tc>
        <w:tc>
          <w:tcPr>
            <w:tcW w:w="795" w:type="dxa"/>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7</w:t>
            </w:r>
          </w:p>
        </w:tc>
        <w:tc>
          <w:tcPr>
            <w:tcW w:w="885" w:type="dxa"/>
            <w:vAlign w:val="center"/>
          </w:tcPr>
          <w:p>
            <w:pPr>
              <w:pStyle w:val="60"/>
              <w:widowControl/>
              <w:jc w:val="center"/>
              <w:rPr>
                <w:rFonts w:hint="eastAsia" w:ascii="宋体" w:hAnsi="宋体"/>
                <w:color w:val="auto"/>
                <w:kern w:val="0"/>
                <w:sz w:val="24"/>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469" w:hRule="atLeast"/>
          <w:jc w:val="center"/>
        </w:trPr>
        <w:tc>
          <w:tcPr>
            <w:tcW w:w="7879" w:type="dxa"/>
            <w:gridSpan w:val="6"/>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得分合计</w:t>
            </w:r>
          </w:p>
        </w:tc>
        <w:tc>
          <w:tcPr>
            <w:tcW w:w="795" w:type="dxa"/>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100</w:t>
            </w:r>
          </w:p>
        </w:tc>
        <w:tc>
          <w:tcPr>
            <w:tcW w:w="885" w:type="dxa"/>
            <w:vAlign w:val="center"/>
          </w:tcPr>
          <w:p>
            <w:pPr>
              <w:pStyle w:val="60"/>
              <w:widowControl/>
              <w:jc w:val="center"/>
              <w:rPr>
                <w:rFonts w:hint="eastAsia" w:ascii="宋体" w:hAnsi="宋体"/>
                <w:color w:val="auto"/>
                <w:kern w:val="0"/>
                <w:sz w:val="24"/>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346" w:hRule="atLeast"/>
          <w:jc w:val="center"/>
        </w:trPr>
        <w:tc>
          <w:tcPr>
            <w:tcW w:w="905" w:type="dxa"/>
            <w:vAlign w:val="center"/>
          </w:tcPr>
          <w:p>
            <w:pPr>
              <w:pStyle w:val="60"/>
              <w:jc w:val="center"/>
              <w:rPr>
                <w:rFonts w:hint="eastAsia" w:ascii="宋体" w:hAnsi="宋体"/>
                <w:color w:val="auto"/>
                <w:kern w:val="0"/>
                <w:sz w:val="24"/>
                <w:szCs w:val="21"/>
              </w:rPr>
            </w:pPr>
            <w:r>
              <w:rPr>
                <w:rFonts w:hint="eastAsia" w:ascii="宋体" w:hAnsi="宋体"/>
                <w:color w:val="auto"/>
                <w:kern w:val="0"/>
                <w:sz w:val="21"/>
                <w:szCs w:val="21"/>
              </w:rPr>
              <w:t>扣分项</w:t>
            </w:r>
          </w:p>
        </w:tc>
        <w:tc>
          <w:tcPr>
            <w:tcW w:w="910" w:type="dxa"/>
            <w:gridSpan w:val="2"/>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编号</w:t>
            </w:r>
          </w:p>
        </w:tc>
        <w:tc>
          <w:tcPr>
            <w:tcW w:w="6064" w:type="dxa"/>
            <w:gridSpan w:val="3"/>
            <w:vAlign w:val="center"/>
          </w:tcPr>
          <w:p>
            <w:pPr>
              <w:pStyle w:val="60"/>
              <w:jc w:val="center"/>
              <w:rPr>
                <w:rFonts w:hint="eastAsia" w:ascii="宋体" w:hAnsi="宋体"/>
                <w:color w:val="auto"/>
                <w:kern w:val="0"/>
                <w:sz w:val="24"/>
                <w:szCs w:val="21"/>
              </w:rPr>
            </w:pPr>
            <w:r>
              <w:rPr>
                <w:rFonts w:hint="eastAsia" w:ascii="宋体" w:hAnsi="宋体"/>
                <w:color w:val="auto"/>
                <w:kern w:val="0"/>
                <w:sz w:val="24"/>
                <w:szCs w:val="21"/>
              </w:rPr>
              <w:t>扣分内容</w:t>
            </w:r>
          </w:p>
        </w:tc>
        <w:tc>
          <w:tcPr>
            <w:tcW w:w="795" w:type="dxa"/>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扣分</w:t>
            </w:r>
          </w:p>
        </w:tc>
        <w:tc>
          <w:tcPr>
            <w:tcW w:w="885" w:type="dxa"/>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说明</w:t>
            </w: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540" w:hRule="atLeast"/>
          <w:jc w:val="center"/>
        </w:trPr>
        <w:tc>
          <w:tcPr>
            <w:tcW w:w="905" w:type="dxa"/>
            <w:vMerge w:val="restart"/>
            <w:vAlign w:val="center"/>
          </w:tcPr>
          <w:p>
            <w:pPr>
              <w:pStyle w:val="60"/>
              <w:jc w:val="center"/>
              <w:rPr>
                <w:rFonts w:hint="eastAsia" w:ascii="宋体" w:hAnsi="宋体"/>
                <w:color w:val="auto"/>
                <w:kern w:val="0"/>
                <w:sz w:val="24"/>
                <w:szCs w:val="21"/>
              </w:rPr>
            </w:pPr>
            <w:r>
              <w:rPr>
                <w:rFonts w:hint="eastAsia" w:ascii="宋体" w:hAnsi="宋体"/>
                <w:color w:val="auto"/>
                <w:kern w:val="0"/>
                <w:sz w:val="24"/>
                <w:szCs w:val="21"/>
              </w:rPr>
              <w:t>评审工作质量</w:t>
            </w:r>
          </w:p>
        </w:tc>
        <w:tc>
          <w:tcPr>
            <w:tcW w:w="910" w:type="dxa"/>
            <w:gridSpan w:val="2"/>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1</w:t>
            </w:r>
          </w:p>
        </w:tc>
        <w:tc>
          <w:tcPr>
            <w:tcW w:w="6064" w:type="dxa"/>
            <w:gridSpan w:val="3"/>
            <w:vAlign w:val="center"/>
          </w:tcPr>
          <w:p>
            <w:pPr>
              <w:pStyle w:val="60"/>
              <w:jc w:val="left"/>
              <w:rPr>
                <w:rFonts w:hint="eastAsia" w:ascii="宋体" w:hAnsi="宋体"/>
                <w:color w:val="auto"/>
                <w:kern w:val="0"/>
                <w:szCs w:val="21"/>
              </w:rPr>
            </w:pPr>
            <w:r>
              <w:rPr>
                <w:rFonts w:hint="eastAsia" w:ascii="宋体" w:hAnsi="宋体"/>
                <w:color w:val="auto"/>
                <w:kern w:val="0"/>
                <w:szCs w:val="21"/>
              </w:rPr>
              <w:t>在计量规则、套用定额、套用取费标准、采用信息发布价或市场参考价、报价依据、引用相关管理文件等方面发现错误，发现一项扣2分。本项最多扣10分。</w:t>
            </w:r>
          </w:p>
        </w:tc>
        <w:tc>
          <w:tcPr>
            <w:tcW w:w="795" w:type="dxa"/>
            <w:vAlign w:val="center"/>
          </w:tcPr>
          <w:p>
            <w:pPr>
              <w:pStyle w:val="60"/>
              <w:widowControl/>
              <w:jc w:val="center"/>
              <w:rPr>
                <w:rFonts w:hint="eastAsia" w:ascii="宋体" w:hAnsi="宋体"/>
                <w:color w:val="auto"/>
                <w:kern w:val="0"/>
                <w:sz w:val="24"/>
                <w:szCs w:val="21"/>
              </w:rPr>
            </w:pPr>
          </w:p>
        </w:tc>
        <w:tc>
          <w:tcPr>
            <w:tcW w:w="885" w:type="dxa"/>
            <w:vAlign w:val="center"/>
          </w:tcPr>
          <w:p>
            <w:pPr>
              <w:pStyle w:val="60"/>
              <w:widowControl/>
              <w:jc w:val="center"/>
              <w:rPr>
                <w:rFonts w:hint="eastAsia" w:ascii="宋体" w:hAnsi="宋体"/>
                <w:color w:val="auto"/>
                <w:kern w:val="0"/>
                <w:sz w:val="24"/>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703" w:hRule="atLeast"/>
          <w:jc w:val="center"/>
        </w:trPr>
        <w:tc>
          <w:tcPr>
            <w:tcW w:w="905" w:type="dxa"/>
            <w:vMerge w:val="continue"/>
            <w:vAlign w:val="center"/>
          </w:tcPr>
          <w:p>
            <w:pPr>
              <w:pStyle w:val="60"/>
              <w:jc w:val="center"/>
              <w:rPr>
                <w:rFonts w:hint="eastAsia" w:ascii="宋体" w:hAnsi="宋体"/>
                <w:color w:val="auto"/>
                <w:kern w:val="0"/>
                <w:sz w:val="24"/>
                <w:szCs w:val="21"/>
              </w:rPr>
            </w:pPr>
          </w:p>
        </w:tc>
        <w:tc>
          <w:tcPr>
            <w:tcW w:w="910" w:type="dxa"/>
            <w:gridSpan w:val="2"/>
            <w:vAlign w:val="center"/>
          </w:tcPr>
          <w:p>
            <w:pPr>
              <w:pStyle w:val="60"/>
              <w:jc w:val="center"/>
              <w:rPr>
                <w:rFonts w:hint="eastAsia" w:ascii="宋体" w:hAnsi="宋体"/>
                <w:color w:val="auto"/>
                <w:kern w:val="0"/>
                <w:sz w:val="24"/>
                <w:szCs w:val="21"/>
              </w:rPr>
            </w:pPr>
            <w:r>
              <w:rPr>
                <w:rFonts w:hint="eastAsia" w:ascii="宋体" w:hAnsi="宋体"/>
                <w:color w:val="auto"/>
                <w:kern w:val="0"/>
                <w:sz w:val="24"/>
                <w:szCs w:val="21"/>
              </w:rPr>
              <w:t>2</w:t>
            </w:r>
          </w:p>
        </w:tc>
        <w:tc>
          <w:tcPr>
            <w:tcW w:w="6064" w:type="dxa"/>
            <w:gridSpan w:val="3"/>
            <w:vAlign w:val="center"/>
          </w:tcPr>
          <w:p>
            <w:pPr>
              <w:pStyle w:val="60"/>
              <w:jc w:val="left"/>
              <w:rPr>
                <w:rFonts w:hint="eastAsia" w:ascii="宋体" w:hAnsi="宋体"/>
                <w:color w:val="auto"/>
                <w:kern w:val="0"/>
                <w:szCs w:val="21"/>
              </w:rPr>
            </w:pPr>
            <w:r>
              <w:rPr>
                <w:rFonts w:hint="eastAsia" w:ascii="宋体" w:hAnsi="宋体"/>
                <w:color w:val="auto"/>
                <w:kern w:val="0"/>
                <w:szCs w:val="21"/>
              </w:rPr>
              <w:t>评审内容不完整的扣5分；评审报告格式不规范的扣5分。本项最多扣20分。</w:t>
            </w:r>
          </w:p>
        </w:tc>
        <w:tc>
          <w:tcPr>
            <w:tcW w:w="795" w:type="dxa"/>
            <w:vAlign w:val="center"/>
          </w:tcPr>
          <w:p>
            <w:pPr>
              <w:pStyle w:val="60"/>
              <w:jc w:val="center"/>
              <w:rPr>
                <w:rFonts w:hint="eastAsia" w:ascii="宋体" w:hAnsi="宋体"/>
                <w:color w:val="auto"/>
                <w:kern w:val="0"/>
                <w:sz w:val="24"/>
                <w:szCs w:val="21"/>
              </w:rPr>
            </w:pPr>
          </w:p>
        </w:tc>
        <w:tc>
          <w:tcPr>
            <w:tcW w:w="885" w:type="dxa"/>
            <w:vAlign w:val="center"/>
          </w:tcPr>
          <w:p>
            <w:pPr>
              <w:pStyle w:val="60"/>
              <w:jc w:val="center"/>
              <w:rPr>
                <w:rFonts w:hint="eastAsia" w:ascii="宋体" w:hAnsi="宋体"/>
                <w:color w:val="auto"/>
                <w:kern w:val="0"/>
                <w:sz w:val="24"/>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1855" w:hRule="atLeast"/>
          <w:jc w:val="center"/>
        </w:trPr>
        <w:tc>
          <w:tcPr>
            <w:tcW w:w="905" w:type="dxa"/>
            <w:vMerge w:val="continue"/>
            <w:vAlign w:val="center"/>
          </w:tcPr>
          <w:p>
            <w:pPr>
              <w:pStyle w:val="60"/>
              <w:jc w:val="center"/>
              <w:rPr>
                <w:rFonts w:hint="eastAsia" w:ascii="宋体" w:hAnsi="宋体"/>
                <w:color w:val="auto"/>
                <w:kern w:val="0"/>
                <w:sz w:val="24"/>
                <w:szCs w:val="21"/>
              </w:rPr>
            </w:pPr>
          </w:p>
        </w:tc>
        <w:tc>
          <w:tcPr>
            <w:tcW w:w="910" w:type="dxa"/>
            <w:gridSpan w:val="2"/>
            <w:vAlign w:val="center"/>
          </w:tcPr>
          <w:p>
            <w:pPr>
              <w:pStyle w:val="60"/>
              <w:jc w:val="center"/>
              <w:rPr>
                <w:rFonts w:hint="eastAsia" w:ascii="宋体" w:hAnsi="宋体"/>
                <w:color w:val="auto"/>
                <w:kern w:val="0"/>
                <w:sz w:val="24"/>
                <w:szCs w:val="21"/>
              </w:rPr>
            </w:pPr>
            <w:r>
              <w:rPr>
                <w:rFonts w:hint="eastAsia" w:ascii="宋体" w:hAnsi="宋体"/>
                <w:color w:val="auto"/>
                <w:kern w:val="0"/>
                <w:sz w:val="24"/>
                <w:szCs w:val="21"/>
              </w:rPr>
              <w:t>3</w:t>
            </w:r>
          </w:p>
        </w:tc>
        <w:tc>
          <w:tcPr>
            <w:tcW w:w="6064" w:type="dxa"/>
            <w:gridSpan w:val="3"/>
            <w:vAlign w:val="center"/>
          </w:tcPr>
          <w:p>
            <w:pPr>
              <w:pStyle w:val="60"/>
              <w:jc w:val="left"/>
              <w:rPr>
                <w:rFonts w:hint="eastAsia" w:ascii="宋体" w:hAnsi="宋体"/>
                <w:color w:val="auto"/>
                <w:kern w:val="0"/>
                <w:szCs w:val="21"/>
                <w:highlight w:val="none"/>
              </w:rPr>
            </w:pPr>
            <w:r>
              <w:rPr>
                <w:rFonts w:hint="eastAsia" w:ascii="宋体" w:hAnsi="宋体"/>
                <w:color w:val="auto"/>
                <w:szCs w:val="21"/>
                <w:highlight w:val="none"/>
              </w:rPr>
              <w:t>造</w:t>
            </w:r>
            <w:r>
              <w:rPr>
                <w:rFonts w:hint="eastAsia" w:ascii="宋体" w:hAnsi="宋体"/>
                <w:color w:val="auto"/>
                <w:kern w:val="0"/>
                <w:szCs w:val="21"/>
                <w:highlight w:val="none"/>
              </w:rPr>
              <w:t>价成果</w:t>
            </w:r>
          </w:p>
          <w:p>
            <w:pPr>
              <w:pStyle w:val="60"/>
              <w:jc w:val="left"/>
              <w:rPr>
                <w:rFonts w:hint="eastAsia" w:ascii="宋体" w:hAnsi="宋体"/>
                <w:color w:val="auto"/>
                <w:kern w:val="0"/>
                <w:szCs w:val="21"/>
                <w:highlight w:val="none"/>
              </w:rPr>
            </w:pPr>
            <w:r>
              <w:rPr>
                <w:rFonts w:hint="eastAsia" w:ascii="宋体" w:hAnsi="宋体"/>
                <w:color w:val="auto"/>
                <w:kern w:val="0"/>
                <w:szCs w:val="21"/>
                <w:highlight w:val="none"/>
              </w:rPr>
              <w:t>（一）概算、预算（含最高报价值、招标工程量清单）及进度款：</w:t>
            </w:r>
          </w:p>
          <w:p>
            <w:pPr>
              <w:pStyle w:val="60"/>
              <w:jc w:val="left"/>
              <w:rPr>
                <w:rFonts w:hint="eastAsia" w:ascii="宋体" w:hAnsi="宋体"/>
                <w:color w:val="auto"/>
                <w:kern w:val="0"/>
                <w:szCs w:val="21"/>
                <w:highlight w:val="none"/>
              </w:rPr>
            </w:pPr>
            <w:r>
              <w:rPr>
                <w:rFonts w:hint="eastAsia" w:ascii="宋体" w:hAnsi="宋体"/>
                <w:color w:val="auto"/>
                <w:kern w:val="0"/>
                <w:szCs w:val="21"/>
                <w:highlight w:val="none"/>
              </w:rPr>
              <w:t>1.差错率在 3%—5%以内的，如非故意行为造成的，造价咨询服务机构应向委托人提出书面整改措施，否则，扣10分并扣除咨询服务酬金的 12%。</w:t>
            </w:r>
          </w:p>
          <w:p>
            <w:pPr>
              <w:pStyle w:val="60"/>
              <w:jc w:val="left"/>
              <w:rPr>
                <w:rFonts w:hint="eastAsia" w:ascii="宋体" w:hAnsi="宋体"/>
                <w:color w:val="auto"/>
                <w:kern w:val="0"/>
                <w:szCs w:val="21"/>
                <w:highlight w:val="none"/>
              </w:rPr>
            </w:pPr>
            <w:r>
              <w:rPr>
                <w:rFonts w:hint="eastAsia" w:ascii="宋体" w:hAnsi="宋体"/>
                <w:color w:val="auto"/>
                <w:kern w:val="0"/>
                <w:szCs w:val="21"/>
                <w:highlight w:val="none"/>
              </w:rPr>
              <w:t>2．5%＜差错率≤8%，</w:t>
            </w:r>
            <w:r>
              <w:rPr>
                <w:rFonts w:hint="eastAsia" w:ascii="宋体" w:hAnsi="宋体"/>
                <w:color w:val="auto"/>
                <w:szCs w:val="21"/>
                <w:highlight w:val="none"/>
              </w:rPr>
              <w:t>扣20分并</w:t>
            </w:r>
            <w:r>
              <w:rPr>
                <w:rFonts w:hint="eastAsia" w:ascii="宋体" w:hAnsi="宋体"/>
                <w:color w:val="auto"/>
                <w:kern w:val="0"/>
                <w:szCs w:val="21"/>
                <w:highlight w:val="none"/>
              </w:rPr>
              <w:t>扣除咨询服务酬金的 20%。</w:t>
            </w:r>
          </w:p>
          <w:p>
            <w:pPr>
              <w:pStyle w:val="60"/>
              <w:jc w:val="left"/>
              <w:rPr>
                <w:rFonts w:hint="eastAsia" w:ascii="宋体" w:hAnsi="宋体"/>
                <w:color w:val="auto"/>
                <w:kern w:val="0"/>
                <w:szCs w:val="21"/>
                <w:highlight w:val="none"/>
              </w:rPr>
            </w:pPr>
            <w:r>
              <w:rPr>
                <w:rFonts w:hint="eastAsia" w:ascii="宋体" w:hAnsi="宋体"/>
                <w:color w:val="auto"/>
                <w:kern w:val="0"/>
                <w:szCs w:val="21"/>
                <w:highlight w:val="none"/>
              </w:rPr>
              <w:t>3．8%＜差错率≤10%，</w:t>
            </w:r>
            <w:r>
              <w:rPr>
                <w:rFonts w:hint="eastAsia" w:ascii="宋体" w:hAnsi="宋体"/>
                <w:color w:val="auto"/>
                <w:szCs w:val="21"/>
                <w:highlight w:val="none"/>
              </w:rPr>
              <w:t>扣40分并</w:t>
            </w:r>
            <w:r>
              <w:rPr>
                <w:rFonts w:hint="eastAsia" w:ascii="宋体" w:hAnsi="宋体"/>
                <w:color w:val="auto"/>
                <w:kern w:val="0"/>
                <w:szCs w:val="21"/>
                <w:highlight w:val="none"/>
              </w:rPr>
              <w:t>扣除咨询服务酬金的 50%。</w:t>
            </w:r>
          </w:p>
          <w:p>
            <w:pPr>
              <w:pStyle w:val="60"/>
              <w:jc w:val="left"/>
              <w:rPr>
                <w:rFonts w:hint="eastAsia" w:ascii="宋体" w:hAnsi="宋体"/>
                <w:color w:val="auto"/>
                <w:kern w:val="0"/>
                <w:szCs w:val="21"/>
                <w:highlight w:val="none"/>
              </w:rPr>
            </w:pPr>
            <w:r>
              <w:rPr>
                <w:rFonts w:hint="eastAsia" w:ascii="宋体" w:hAnsi="宋体"/>
                <w:color w:val="auto"/>
                <w:kern w:val="0"/>
                <w:szCs w:val="21"/>
                <w:highlight w:val="none"/>
              </w:rPr>
              <w:t>4．差错率＞10%，</w:t>
            </w:r>
            <w:r>
              <w:rPr>
                <w:rFonts w:hint="eastAsia" w:ascii="宋体" w:hAnsi="宋体"/>
                <w:color w:val="auto"/>
                <w:szCs w:val="21"/>
                <w:highlight w:val="none"/>
              </w:rPr>
              <w:t>扣50分并</w:t>
            </w:r>
            <w:r>
              <w:rPr>
                <w:rFonts w:hint="eastAsia" w:ascii="宋体" w:hAnsi="宋体"/>
                <w:color w:val="auto"/>
                <w:kern w:val="0"/>
                <w:szCs w:val="21"/>
                <w:highlight w:val="none"/>
              </w:rPr>
              <w:t xml:space="preserve">扣除咨询服务酬金的 100%。 </w:t>
            </w:r>
          </w:p>
          <w:p>
            <w:pPr>
              <w:pStyle w:val="60"/>
              <w:jc w:val="left"/>
              <w:rPr>
                <w:rFonts w:hint="eastAsia" w:ascii="宋体" w:hAnsi="宋体"/>
                <w:color w:val="auto"/>
                <w:kern w:val="0"/>
                <w:szCs w:val="21"/>
                <w:highlight w:val="none"/>
              </w:rPr>
            </w:pPr>
          </w:p>
          <w:p>
            <w:pPr>
              <w:pStyle w:val="60"/>
              <w:jc w:val="left"/>
              <w:rPr>
                <w:rFonts w:hint="eastAsia" w:ascii="宋体" w:hAnsi="宋体"/>
                <w:color w:val="auto"/>
                <w:kern w:val="0"/>
                <w:szCs w:val="21"/>
                <w:highlight w:val="none"/>
              </w:rPr>
            </w:pPr>
            <w:r>
              <w:rPr>
                <w:rFonts w:hint="eastAsia" w:ascii="宋体" w:hAnsi="宋体"/>
                <w:color w:val="auto"/>
                <w:kern w:val="0"/>
                <w:szCs w:val="21"/>
                <w:highlight w:val="none"/>
              </w:rPr>
              <w:t>（二）工程竣工结算：</w:t>
            </w:r>
          </w:p>
          <w:p>
            <w:pPr>
              <w:pStyle w:val="60"/>
              <w:jc w:val="left"/>
              <w:rPr>
                <w:rFonts w:hint="eastAsia" w:ascii="宋体" w:hAnsi="宋体"/>
                <w:color w:val="auto"/>
                <w:kern w:val="0"/>
                <w:szCs w:val="21"/>
                <w:highlight w:val="none"/>
              </w:rPr>
            </w:pPr>
            <w:r>
              <w:rPr>
                <w:rFonts w:hint="eastAsia" w:ascii="宋体" w:hAnsi="宋体"/>
                <w:color w:val="auto"/>
                <w:kern w:val="0"/>
                <w:szCs w:val="21"/>
                <w:highlight w:val="none"/>
              </w:rPr>
              <w:t>1．3%＜差错率≤5%，</w:t>
            </w:r>
            <w:r>
              <w:rPr>
                <w:rFonts w:hint="eastAsia" w:ascii="宋体" w:hAnsi="宋体"/>
                <w:color w:val="auto"/>
                <w:szCs w:val="21"/>
                <w:highlight w:val="none"/>
              </w:rPr>
              <w:t>扣10分并</w:t>
            </w:r>
            <w:r>
              <w:rPr>
                <w:rFonts w:hint="eastAsia" w:ascii="宋体" w:hAnsi="宋体"/>
                <w:color w:val="auto"/>
                <w:kern w:val="0"/>
                <w:szCs w:val="21"/>
                <w:highlight w:val="none"/>
              </w:rPr>
              <w:t>扣除咨询服务酬金的 20%。</w:t>
            </w:r>
          </w:p>
          <w:p>
            <w:pPr>
              <w:pStyle w:val="60"/>
              <w:jc w:val="left"/>
              <w:rPr>
                <w:rFonts w:hint="eastAsia" w:ascii="宋体" w:hAnsi="宋体"/>
                <w:color w:val="auto"/>
                <w:kern w:val="0"/>
                <w:szCs w:val="21"/>
                <w:highlight w:val="none"/>
              </w:rPr>
            </w:pPr>
            <w:r>
              <w:rPr>
                <w:rFonts w:hint="eastAsia" w:ascii="宋体" w:hAnsi="宋体"/>
                <w:color w:val="auto"/>
                <w:kern w:val="0"/>
                <w:szCs w:val="21"/>
                <w:highlight w:val="none"/>
              </w:rPr>
              <w:t>2．5%＜差错率≤8%，</w:t>
            </w:r>
            <w:r>
              <w:rPr>
                <w:rFonts w:hint="eastAsia" w:ascii="宋体" w:hAnsi="宋体"/>
                <w:color w:val="auto"/>
                <w:szCs w:val="21"/>
                <w:highlight w:val="none"/>
              </w:rPr>
              <w:t>扣20分并</w:t>
            </w:r>
            <w:r>
              <w:rPr>
                <w:rFonts w:hint="eastAsia" w:ascii="宋体" w:hAnsi="宋体"/>
                <w:color w:val="auto"/>
                <w:kern w:val="0"/>
                <w:szCs w:val="21"/>
                <w:highlight w:val="none"/>
              </w:rPr>
              <w:t>扣除咨询服务酬金的 50%。</w:t>
            </w:r>
          </w:p>
          <w:p>
            <w:pPr>
              <w:pStyle w:val="60"/>
              <w:jc w:val="left"/>
              <w:rPr>
                <w:rFonts w:hint="eastAsia" w:ascii="宋体" w:hAnsi="宋体"/>
                <w:color w:val="auto"/>
                <w:kern w:val="0"/>
                <w:szCs w:val="21"/>
                <w:highlight w:val="none"/>
              </w:rPr>
            </w:pPr>
            <w:r>
              <w:rPr>
                <w:rFonts w:hint="eastAsia" w:ascii="宋体" w:hAnsi="宋体"/>
                <w:color w:val="auto"/>
                <w:kern w:val="0"/>
                <w:szCs w:val="21"/>
                <w:highlight w:val="none"/>
              </w:rPr>
              <w:t>3．8%＜差错率≤10%，</w:t>
            </w:r>
            <w:r>
              <w:rPr>
                <w:rFonts w:hint="eastAsia" w:ascii="宋体" w:hAnsi="宋体"/>
                <w:color w:val="auto"/>
                <w:szCs w:val="21"/>
                <w:highlight w:val="none"/>
              </w:rPr>
              <w:t>扣40分并</w:t>
            </w:r>
            <w:r>
              <w:rPr>
                <w:rFonts w:hint="eastAsia" w:ascii="宋体" w:hAnsi="宋体"/>
                <w:color w:val="auto"/>
                <w:kern w:val="0"/>
                <w:szCs w:val="21"/>
                <w:highlight w:val="none"/>
              </w:rPr>
              <w:t>扣除咨询服务酬金的 80%。</w:t>
            </w:r>
          </w:p>
          <w:p>
            <w:pPr>
              <w:pStyle w:val="60"/>
              <w:jc w:val="left"/>
              <w:rPr>
                <w:rFonts w:hint="eastAsia" w:ascii="宋体" w:hAnsi="宋体"/>
                <w:color w:val="auto"/>
                <w:kern w:val="0"/>
                <w:szCs w:val="21"/>
                <w:highlight w:val="none"/>
              </w:rPr>
            </w:pPr>
            <w:r>
              <w:rPr>
                <w:rFonts w:hint="eastAsia" w:ascii="宋体" w:hAnsi="宋体"/>
                <w:color w:val="auto"/>
                <w:kern w:val="0"/>
                <w:szCs w:val="21"/>
                <w:highlight w:val="none"/>
              </w:rPr>
              <w:t>4．差错率＞10%，</w:t>
            </w:r>
            <w:r>
              <w:rPr>
                <w:rFonts w:hint="eastAsia" w:ascii="宋体" w:hAnsi="宋体"/>
                <w:color w:val="auto"/>
                <w:szCs w:val="21"/>
                <w:highlight w:val="none"/>
              </w:rPr>
              <w:t>扣50分并</w:t>
            </w:r>
            <w:r>
              <w:rPr>
                <w:rFonts w:hint="eastAsia" w:ascii="宋体" w:hAnsi="宋体"/>
                <w:color w:val="auto"/>
                <w:kern w:val="0"/>
                <w:szCs w:val="21"/>
                <w:highlight w:val="none"/>
              </w:rPr>
              <w:t>扣除咨询服务酬金的 100%。</w:t>
            </w:r>
          </w:p>
          <w:p>
            <w:pPr>
              <w:pStyle w:val="60"/>
              <w:jc w:val="left"/>
              <w:rPr>
                <w:rFonts w:hint="eastAsia" w:ascii="宋体" w:hAnsi="宋体"/>
                <w:color w:val="auto"/>
                <w:kern w:val="0"/>
                <w:szCs w:val="21"/>
              </w:rPr>
            </w:pPr>
            <w:r>
              <w:rPr>
                <w:rFonts w:hint="eastAsia" w:ascii="宋体" w:hAnsi="宋体"/>
                <w:color w:val="auto"/>
                <w:kern w:val="0"/>
                <w:szCs w:val="21"/>
                <w:highlight w:val="none"/>
              </w:rPr>
              <w:t>5. 差错率≤3%，但子项失误超过10万元（含）的，每一处扣5分，并扣委托费2%。本项最多扣60分。</w:t>
            </w:r>
          </w:p>
        </w:tc>
        <w:tc>
          <w:tcPr>
            <w:tcW w:w="795" w:type="dxa"/>
            <w:vAlign w:val="center"/>
          </w:tcPr>
          <w:p>
            <w:pPr>
              <w:pStyle w:val="60"/>
              <w:jc w:val="center"/>
              <w:rPr>
                <w:rFonts w:hint="eastAsia" w:ascii="宋体" w:hAnsi="宋体"/>
                <w:color w:val="auto"/>
                <w:kern w:val="0"/>
                <w:sz w:val="24"/>
                <w:szCs w:val="21"/>
              </w:rPr>
            </w:pPr>
          </w:p>
        </w:tc>
        <w:tc>
          <w:tcPr>
            <w:tcW w:w="885" w:type="dxa"/>
            <w:vAlign w:val="center"/>
          </w:tcPr>
          <w:p>
            <w:pPr>
              <w:pStyle w:val="60"/>
              <w:jc w:val="center"/>
              <w:rPr>
                <w:rFonts w:hint="eastAsia" w:ascii="宋体" w:hAnsi="宋体"/>
                <w:color w:val="auto"/>
                <w:kern w:val="0"/>
                <w:sz w:val="24"/>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977" w:hRule="atLeast"/>
          <w:jc w:val="center"/>
        </w:trPr>
        <w:tc>
          <w:tcPr>
            <w:tcW w:w="905" w:type="dxa"/>
            <w:vMerge w:val="continue"/>
            <w:vAlign w:val="center"/>
          </w:tcPr>
          <w:p>
            <w:pPr>
              <w:pStyle w:val="60"/>
              <w:jc w:val="center"/>
              <w:rPr>
                <w:rFonts w:hint="eastAsia" w:ascii="宋体" w:hAnsi="宋体"/>
                <w:color w:val="auto"/>
                <w:kern w:val="0"/>
                <w:sz w:val="24"/>
                <w:szCs w:val="21"/>
              </w:rPr>
            </w:pPr>
          </w:p>
        </w:tc>
        <w:tc>
          <w:tcPr>
            <w:tcW w:w="910" w:type="dxa"/>
            <w:gridSpan w:val="2"/>
            <w:vAlign w:val="center"/>
          </w:tcPr>
          <w:p>
            <w:pPr>
              <w:pStyle w:val="60"/>
              <w:jc w:val="center"/>
              <w:rPr>
                <w:rFonts w:hint="eastAsia" w:ascii="宋体" w:hAnsi="宋体"/>
                <w:color w:val="auto"/>
                <w:kern w:val="0"/>
                <w:sz w:val="24"/>
                <w:szCs w:val="21"/>
              </w:rPr>
            </w:pPr>
            <w:r>
              <w:rPr>
                <w:rFonts w:hint="eastAsia" w:ascii="宋体" w:hAnsi="宋体"/>
                <w:color w:val="auto"/>
                <w:kern w:val="0"/>
                <w:sz w:val="24"/>
                <w:szCs w:val="21"/>
              </w:rPr>
              <w:t>4</w:t>
            </w:r>
          </w:p>
        </w:tc>
        <w:tc>
          <w:tcPr>
            <w:tcW w:w="6064" w:type="dxa"/>
            <w:gridSpan w:val="3"/>
            <w:vAlign w:val="center"/>
          </w:tcPr>
          <w:p>
            <w:pPr>
              <w:pStyle w:val="60"/>
              <w:jc w:val="left"/>
              <w:rPr>
                <w:rFonts w:hint="eastAsia" w:ascii="宋体" w:hAnsi="宋体"/>
                <w:color w:val="auto"/>
                <w:szCs w:val="21"/>
              </w:rPr>
            </w:pPr>
            <w:r>
              <w:rPr>
                <w:rFonts w:hint="eastAsia" w:ascii="宋体" w:hAnsi="宋体"/>
                <w:color w:val="auto"/>
                <w:kern w:val="0"/>
                <w:szCs w:val="21"/>
              </w:rPr>
              <w:t>因咨询人原因，逾期不能提交初步审核报告或复核意见的，逾期2天扣5分；逾期3天扣10分；逾期5天扣20分；逾期3天以上的，扣30分，并扣委托费的50%。</w:t>
            </w:r>
          </w:p>
        </w:tc>
        <w:tc>
          <w:tcPr>
            <w:tcW w:w="795" w:type="dxa"/>
            <w:vAlign w:val="center"/>
          </w:tcPr>
          <w:p>
            <w:pPr>
              <w:pStyle w:val="60"/>
              <w:jc w:val="center"/>
              <w:rPr>
                <w:rFonts w:hint="eastAsia" w:ascii="宋体" w:hAnsi="宋体"/>
                <w:color w:val="auto"/>
                <w:kern w:val="0"/>
                <w:sz w:val="24"/>
                <w:szCs w:val="21"/>
              </w:rPr>
            </w:pPr>
          </w:p>
        </w:tc>
        <w:tc>
          <w:tcPr>
            <w:tcW w:w="885" w:type="dxa"/>
            <w:vAlign w:val="center"/>
          </w:tcPr>
          <w:p>
            <w:pPr>
              <w:pStyle w:val="60"/>
              <w:jc w:val="center"/>
              <w:rPr>
                <w:rFonts w:hint="eastAsia" w:ascii="宋体" w:hAnsi="宋体"/>
                <w:color w:val="auto"/>
                <w:kern w:val="0"/>
                <w:sz w:val="24"/>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565" w:hRule="atLeast"/>
          <w:jc w:val="center"/>
        </w:trPr>
        <w:tc>
          <w:tcPr>
            <w:tcW w:w="905" w:type="dxa"/>
            <w:vMerge w:val="restart"/>
            <w:vAlign w:val="center"/>
          </w:tcPr>
          <w:p>
            <w:pPr>
              <w:pStyle w:val="60"/>
              <w:jc w:val="center"/>
              <w:rPr>
                <w:rFonts w:hint="eastAsia" w:ascii="宋体" w:hAnsi="宋体"/>
                <w:color w:val="auto"/>
                <w:kern w:val="0"/>
                <w:sz w:val="24"/>
                <w:szCs w:val="21"/>
              </w:rPr>
            </w:pPr>
            <w:r>
              <w:rPr>
                <w:rFonts w:hint="eastAsia" w:ascii="宋体" w:hAnsi="宋体"/>
                <w:color w:val="auto"/>
                <w:kern w:val="0"/>
                <w:sz w:val="24"/>
                <w:szCs w:val="21"/>
              </w:rPr>
              <w:t>评审服务</w:t>
            </w:r>
          </w:p>
        </w:tc>
        <w:tc>
          <w:tcPr>
            <w:tcW w:w="910" w:type="dxa"/>
            <w:gridSpan w:val="2"/>
            <w:vAlign w:val="center"/>
          </w:tcPr>
          <w:p>
            <w:pPr>
              <w:pStyle w:val="60"/>
              <w:jc w:val="center"/>
              <w:rPr>
                <w:rFonts w:hint="eastAsia" w:ascii="宋体" w:hAnsi="宋体"/>
                <w:color w:val="auto"/>
                <w:kern w:val="0"/>
                <w:sz w:val="24"/>
                <w:szCs w:val="21"/>
              </w:rPr>
            </w:pPr>
            <w:r>
              <w:rPr>
                <w:rFonts w:hint="eastAsia" w:ascii="宋体" w:hAnsi="宋体"/>
                <w:color w:val="auto"/>
                <w:kern w:val="0"/>
                <w:sz w:val="24"/>
                <w:szCs w:val="21"/>
              </w:rPr>
              <w:t>5</w:t>
            </w:r>
          </w:p>
        </w:tc>
        <w:tc>
          <w:tcPr>
            <w:tcW w:w="6064" w:type="dxa"/>
            <w:gridSpan w:val="3"/>
            <w:vAlign w:val="center"/>
          </w:tcPr>
          <w:p>
            <w:pPr>
              <w:pStyle w:val="60"/>
              <w:jc w:val="left"/>
              <w:rPr>
                <w:rFonts w:hint="eastAsia" w:ascii="宋体" w:hAnsi="宋体"/>
                <w:color w:val="auto"/>
                <w:kern w:val="0"/>
                <w:szCs w:val="21"/>
              </w:rPr>
            </w:pPr>
            <w:r>
              <w:rPr>
                <w:rFonts w:hint="eastAsia" w:ascii="宋体" w:hAnsi="宋体"/>
                <w:color w:val="auto"/>
                <w:kern w:val="0"/>
                <w:szCs w:val="21"/>
              </w:rPr>
              <w:t>选派评审人员不属于委托人备案名单的，扣50分。</w:t>
            </w:r>
          </w:p>
        </w:tc>
        <w:tc>
          <w:tcPr>
            <w:tcW w:w="795" w:type="dxa"/>
            <w:vAlign w:val="center"/>
          </w:tcPr>
          <w:p>
            <w:pPr>
              <w:pStyle w:val="60"/>
              <w:jc w:val="center"/>
              <w:rPr>
                <w:rFonts w:hint="eastAsia" w:ascii="宋体" w:hAnsi="宋体"/>
                <w:color w:val="auto"/>
                <w:kern w:val="0"/>
                <w:sz w:val="24"/>
                <w:szCs w:val="21"/>
              </w:rPr>
            </w:pPr>
          </w:p>
        </w:tc>
        <w:tc>
          <w:tcPr>
            <w:tcW w:w="885" w:type="dxa"/>
            <w:vAlign w:val="center"/>
          </w:tcPr>
          <w:p>
            <w:pPr>
              <w:pStyle w:val="60"/>
              <w:jc w:val="center"/>
              <w:rPr>
                <w:rFonts w:hint="eastAsia" w:ascii="宋体" w:hAnsi="宋体"/>
                <w:color w:val="auto"/>
                <w:kern w:val="0"/>
                <w:sz w:val="24"/>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615" w:hRule="atLeast"/>
          <w:jc w:val="center"/>
        </w:trPr>
        <w:tc>
          <w:tcPr>
            <w:tcW w:w="905" w:type="dxa"/>
            <w:vMerge w:val="continue"/>
            <w:vAlign w:val="center"/>
          </w:tcPr>
          <w:p>
            <w:pPr>
              <w:pStyle w:val="60"/>
              <w:jc w:val="center"/>
              <w:rPr>
                <w:rFonts w:hint="eastAsia" w:ascii="宋体" w:hAnsi="宋体"/>
                <w:color w:val="auto"/>
                <w:kern w:val="0"/>
                <w:sz w:val="24"/>
                <w:szCs w:val="21"/>
              </w:rPr>
            </w:pPr>
          </w:p>
        </w:tc>
        <w:tc>
          <w:tcPr>
            <w:tcW w:w="910" w:type="dxa"/>
            <w:gridSpan w:val="2"/>
            <w:vAlign w:val="center"/>
          </w:tcPr>
          <w:p>
            <w:pPr>
              <w:pStyle w:val="60"/>
              <w:jc w:val="center"/>
              <w:rPr>
                <w:rFonts w:hint="eastAsia" w:ascii="宋体" w:hAnsi="宋体"/>
                <w:color w:val="auto"/>
                <w:kern w:val="0"/>
                <w:sz w:val="24"/>
                <w:szCs w:val="21"/>
              </w:rPr>
            </w:pPr>
            <w:r>
              <w:rPr>
                <w:rFonts w:hint="eastAsia" w:ascii="宋体" w:hAnsi="宋体"/>
                <w:color w:val="auto"/>
                <w:kern w:val="0"/>
                <w:sz w:val="24"/>
                <w:szCs w:val="21"/>
              </w:rPr>
              <w:t>6</w:t>
            </w:r>
          </w:p>
        </w:tc>
        <w:tc>
          <w:tcPr>
            <w:tcW w:w="6064" w:type="dxa"/>
            <w:gridSpan w:val="3"/>
            <w:vAlign w:val="center"/>
          </w:tcPr>
          <w:p>
            <w:pPr>
              <w:pStyle w:val="60"/>
              <w:jc w:val="left"/>
              <w:rPr>
                <w:rFonts w:hint="eastAsia" w:ascii="宋体" w:hAnsi="宋体"/>
                <w:color w:val="auto"/>
                <w:kern w:val="0"/>
                <w:szCs w:val="21"/>
              </w:rPr>
            </w:pPr>
            <w:r>
              <w:rPr>
                <w:rFonts w:hint="eastAsia" w:ascii="宋体" w:hAnsi="宋体"/>
                <w:color w:val="auto"/>
                <w:kern w:val="0"/>
                <w:szCs w:val="21"/>
              </w:rPr>
              <w:t>半天工作时间响应到达指定现场，响应不及时每次扣4分。本项最多扣8分。</w:t>
            </w:r>
          </w:p>
        </w:tc>
        <w:tc>
          <w:tcPr>
            <w:tcW w:w="795" w:type="dxa"/>
            <w:vAlign w:val="center"/>
          </w:tcPr>
          <w:p>
            <w:pPr>
              <w:pStyle w:val="60"/>
              <w:jc w:val="center"/>
              <w:rPr>
                <w:rFonts w:hint="eastAsia" w:ascii="宋体" w:hAnsi="宋体"/>
                <w:color w:val="auto"/>
                <w:kern w:val="0"/>
                <w:sz w:val="24"/>
                <w:szCs w:val="21"/>
              </w:rPr>
            </w:pPr>
          </w:p>
        </w:tc>
        <w:tc>
          <w:tcPr>
            <w:tcW w:w="885" w:type="dxa"/>
            <w:vAlign w:val="center"/>
          </w:tcPr>
          <w:p>
            <w:pPr>
              <w:pStyle w:val="60"/>
              <w:jc w:val="center"/>
              <w:rPr>
                <w:rFonts w:hint="eastAsia" w:ascii="宋体" w:hAnsi="宋体"/>
                <w:color w:val="auto"/>
                <w:kern w:val="0"/>
                <w:sz w:val="24"/>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558" w:hRule="atLeast"/>
          <w:jc w:val="center"/>
        </w:trPr>
        <w:tc>
          <w:tcPr>
            <w:tcW w:w="905" w:type="dxa"/>
            <w:vAlign w:val="center"/>
          </w:tcPr>
          <w:p>
            <w:pPr>
              <w:pStyle w:val="60"/>
              <w:jc w:val="center"/>
              <w:rPr>
                <w:rFonts w:hint="eastAsia" w:ascii="宋体" w:hAnsi="宋体"/>
                <w:color w:val="auto"/>
                <w:kern w:val="0"/>
                <w:sz w:val="24"/>
                <w:szCs w:val="21"/>
              </w:rPr>
            </w:pPr>
            <w:r>
              <w:rPr>
                <w:rFonts w:hint="eastAsia" w:ascii="宋体" w:hAnsi="宋体"/>
                <w:color w:val="auto"/>
                <w:kern w:val="0"/>
                <w:sz w:val="24"/>
                <w:szCs w:val="21"/>
              </w:rPr>
              <w:t>廉政纪律</w:t>
            </w:r>
          </w:p>
        </w:tc>
        <w:tc>
          <w:tcPr>
            <w:tcW w:w="910" w:type="dxa"/>
            <w:gridSpan w:val="2"/>
            <w:vAlign w:val="center"/>
          </w:tcPr>
          <w:p>
            <w:pPr>
              <w:pStyle w:val="60"/>
              <w:jc w:val="center"/>
              <w:rPr>
                <w:rFonts w:hint="eastAsia" w:ascii="宋体" w:hAnsi="宋体"/>
                <w:color w:val="auto"/>
                <w:kern w:val="0"/>
                <w:sz w:val="24"/>
                <w:szCs w:val="21"/>
              </w:rPr>
            </w:pPr>
            <w:r>
              <w:rPr>
                <w:rFonts w:hint="eastAsia" w:ascii="宋体" w:hAnsi="宋体"/>
                <w:color w:val="auto"/>
                <w:kern w:val="0"/>
                <w:sz w:val="24"/>
                <w:szCs w:val="21"/>
              </w:rPr>
              <w:t>7</w:t>
            </w:r>
          </w:p>
        </w:tc>
        <w:tc>
          <w:tcPr>
            <w:tcW w:w="6064" w:type="dxa"/>
            <w:gridSpan w:val="3"/>
            <w:vAlign w:val="center"/>
          </w:tcPr>
          <w:p>
            <w:pPr>
              <w:pStyle w:val="60"/>
              <w:jc w:val="left"/>
              <w:rPr>
                <w:rFonts w:hint="eastAsia" w:ascii="宋体" w:hAnsi="宋体"/>
                <w:color w:val="auto"/>
                <w:kern w:val="0"/>
                <w:szCs w:val="21"/>
              </w:rPr>
            </w:pPr>
            <w:r>
              <w:rPr>
                <w:rFonts w:hint="eastAsia" w:ascii="宋体" w:hAnsi="宋体"/>
                <w:color w:val="auto"/>
                <w:kern w:val="0"/>
                <w:szCs w:val="21"/>
              </w:rPr>
              <w:t>廉政纪律情况：是否遵守国家、省及财政部门有关保密规定，是否泄露评审时知悉的国家机密和商业秘密；是否未经业务委托的财政部门同意，向项目以外的其他单位或个人披露评审项目的有关信息，对外提供、泄露或公开评审有关情况；是否存在徇私舞弊，与建设、施工、设计、监理、其他中介咨询单位等串通，违反诚实信用和投标承诺，谋取非法利益或损害政府利益的。</w:t>
            </w:r>
          </w:p>
        </w:tc>
        <w:tc>
          <w:tcPr>
            <w:tcW w:w="795" w:type="dxa"/>
            <w:vAlign w:val="center"/>
          </w:tcPr>
          <w:p>
            <w:pPr>
              <w:pStyle w:val="60"/>
              <w:jc w:val="center"/>
              <w:rPr>
                <w:rFonts w:hint="eastAsia" w:ascii="宋体" w:hAnsi="宋体"/>
                <w:color w:val="auto"/>
                <w:kern w:val="0"/>
                <w:sz w:val="24"/>
                <w:szCs w:val="21"/>
              </w:rPr>
            </w:pPr>
            <w:r>
              <w:rPr>
                <w:rFonts w:hint="eastAsia" w:ascii="宋体" w:hAnsi="宋体"/>
                <w:color w:val="auto"/>
                <w:kern w:val="0"/>
                <w:sz w:val="24"/>
                <w:szCs w:val="21"/>
              </w:rPr>
              <w:t>100</w:t>
            </w:r>
          </w:p>
        </w:tc>
        <w:tc>
          <w:tcPr>
            <w:tcW w:w="885" w:type="dxa"/>
            <w:vAlign w:val="center"/>
          </w:tcPr>
          <w:p>
            <w:pPr>
              <w:pStyle w:val="60"/>
              <w:jc w:val="center"/>
              <w:rPr>
                <w:rFonts w:hint="eastAsia" w:ascii="宋体" w:hAnsi="宋体"/>
                <w:color w:val="auto"/>
                <w:kern w:val="0"/>
                <w:sz w:val="24"/>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545" w:hRule="atLeast"/>
          <w:jc w:val="center"/>
        </w:trPr>
        <w:tc>
          <w:tcPr>
            <w:tcW w:w="7879" w:type="dxa"/>
            <w:gridSpan w:val="6"/>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扣分合计</w:t>
            </w:r>
          </w:p>
        </w:tc>
        <w:tc>
          <w:tcPr>
            <w:tcW w:w="1680" w:type="dxa"/>
            <w:gridSpan w:val="2"/>
            <w:vAlign w:val="center"/>
          </w:tcPr>
          <w:p>
            <w:pPr>
              <w:pStyle w:val="60"/>
              <w:widowControl/>
              <w:jc w:val="left"/>
              <w:rPr>
                <w:rFonts w:hint="eastAsia" w:ascii="宋体" w:hAnsi="宋体"/>
                <w:color w:val="auto"/>
                <w:kern w:val="0"/>
                <w:sz w:val="24"/>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623" w:hRule="atLeast"/>
          <w:jc w:val="center"/>
        </w:trPr>
        <w:tc>
          <w:tcPr>
            <w:tcW w:w="7879" w:type="dxa"/>
            <w:gridSpan w:val="6"/>
            <w:vAlign w:val="center"/>
          </w:tcPr>
          <w:p>
            <w:pPr>
              <w:pStyle w:val="60"/>
              <w:jc w:val="center"/>
              <w:rPr>
                <w:rFonts w:hint="eastAsia" w:ascii="宋体" w:hAnsi="宋体"/>
                <w:color w:val="auto"/>
                <w:kern w:val="0"/>
                <w:sz w:val="24"/>
                <w:szCs w:val="21"/>
              </w:rPr>
            </w:pPr>
            <w:r>
              <w:rPr>
                <w:rFonts w:hint="eastAsia" w:ascii="宋体" w:hAnsi="宋体"/>
                <w:color w:val="auto"/>
                <w:kern w:val="0"/>
                <w:sz w:val="24"/>
                <w:szCs w:val="21"/>
              </w:rPr>
              <w:t>总分</w:t>
            </w:r>
          </w:p>
        </w:tc>
        <w:tc>
          <w:tcPr>
            <w:tcW w:w="1680" w:type="dxa"/>
            <w:gridSpan w:val="2"/>
            <w:vAlign w:val="center"/>
          </w:tcPr>
          <w:p>
            <w:pPr>
              <w:pStyle w:val="60"/>
              <w:jc w:val="left"/>
              <w:rPr>
                <w:rFonts w:hint="eastAsia" w:ascii="宋体" w:hAnsi="宋体"/>
                <w:color w:val="auto"/>
                <w:kern w:val="0"/>
                <w:sz w:val="24"/>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849" w:hRule="atLeast"/>
          <w:jc w:val="center"/>
        </w:trPr>
        <w:tc>
          <w:tcPr>
            <w:tcW w:w="1815" w:type="dxa"/>
            <w:gridSpan w:val="3"/>
            <w:vAlign w:val="center"/>
          </w:tcPr>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评审中心</w:t>
            </w:r>
          </w:p>
          <w:p>
            <w:pPr>
              <w:pStyle w:val="60"/>
              <w:widowControl/>
              <w:jc w:val="center"/>
              <w:rPr>
                <w:rFonts w:hint="eastAsia" w:ascii="宋体" w:hAnsi="宋体"/>
                <w:color w:val="auto"/>
                <w:kern w:val="0"/>
                <w:sz w:val="24"/>
                <w:szCs w:val="21"/>
              </w:rPr>
            </w:pPr>
            <w:r>
              <w:rPr>
                <w:rFonts w:hint="eastAsia" w:ascii="宋体" w:hAnsi="宋体"/>
                <w:color w:val="auto"/>
                <w:kern w:val="0"/>
                <w:sz w:val="24"/>
                <w:szCs w:val="21"/>
              </w:rPr>
              <w:t>考核意见</w:t>
            </w:r>
          </w:p>
        </w:tc>
        <w:tc>
          <w:tcPr>
            <w:tcW w:w="7744" w:type="dxa"/>
            <w:gridSpan w:val="5"/>
            <w:vAlign w:val="center"/>
          </w:tcPr>
          <w:p>
            <w:pPr>
              <w:pStyle w:val="60"/>
              <w:widowControl/>
              <w:jc w:val="left"/>
              <w:rPr>
                <w:rFonts w:hint="eastAsia" w:ascii="宋体" w:hAnsi="宋体"/>
                <w:color w:val="auto"/>
                <w:kern w:val="0"/>
                <w:sz w:val="24"/>
                <w:szCs w:val="21"/>
              </w:rPr>
            </w:pPr>
          </w:p>
          <w:p>
            <w:pPr>
              <w:pStyle w:val="60"/>
              <w:widowControl/>
              <w:jc w:val="left"/>
              <w:rPr>
                <w:rFonts w:hint="eastAsia" w:ascii="宋体" w:hAnsi="宋体"/>
                <w:color w:val="auto"/>
                <w:kern w:val="0"/>
                <w:sz w:val="24"/>
                <w:szCs w:val="21"/>
              </w:rPr>
            </w:pPr>
          </w:p>
          <w:p>
            <w:pPr>
              <w:pStyle w:val="60"/>
              <w:widowControl/>
              <w:jc w:val="left"/>
              <w:rPr>
                <w:rFonts w:hint="eastAsia" w:ascii="宋体" w:hAnsi="宋体"/>
                <w:color w:val="auto"/>
                <w:kern w:val="0"/>
                <w:sz w:val="24"/>
                <w:szCs w:val="21"/>
              </w:rPr>
            </w:pPr>
          </w:p>
          <w:p>
            <w:pPr>
              <w:pStyle w:val="60"/>
              <w:widowControl/>
              <w:jc w:val="left"/>
              <w:rPr>
                <w:rFonts w:hint="eastAsia" w:ascii="宋体" w:hAnsi="宋体"/>
                <w:color w:val="auto"/>
                <w:kern w:val="0"/>
                <w:sz w:val="24"/>
                <w:szCs w:val="21"/>
              </w:rPr>
            </w:pPr>
          </w:p>
          <w:p>
            <w:pPr>
              <w:pStyle w:val="60"/>
              <w:widowControl/>
              <w:jc w:val="left"/>
              <w:rPr>
                <w:rFonts w:hint="eastAsia" w:ascii="宋体" w:hAnsi="宋体"/>
                <w:color w:val="auto"/>
                <w:kern w:val="0"/>
                <w:sz w:val="24"/>
                <w:szCs w:val="21"/>
              </w:rPr>
            </w:pPr>
          </w:p>
          <w:p>
            <w:pPr>
              <w:pStyle w:val="60"/>
              <w:widowControl/>
              <w:jc w:val="left"/>
              <w:rPr>
                <w:rFonts w:hint="eastAsia" w:ascii="宋体" w:hAnsi="宋体"/>
                <w:color w:val="auto"/>
                <w:kern w:val="0"/>
                <w:sz w:val="24"/>
                <w:szCs w:val="21"/>
              </w:rPr>
            </w:pPr>
          </w:p>
          <w:p>
            <w:pPr>
              <w:pStyle w:val="60"/>
              <w:widowControl/>
              <w:jc w:val="left"/>
              <w:rPr>
                <w:rFonts w:hint="eastAsia" w:ascii="宋体" w:hAnsi="宋体"/>
                <w:color w:val="auto"/>
                <w:kern w:val="0"/>
                <w:sz w:val="24"/>
                <w:szCs w:val="21"/>
              </w:rPr>
            </w:pPr>
          </w:p>
          <w:p>
            <w:pPr>
              <w:pStyle w:val="60"/>
              <w:widowControl/>
              <w:jc w:val="left"/>
              <w:rPr>
                <w:rFonts w:hint="eastAsia" w:ascii="宋体" w:hAnsi="宋体"/>
                <w:color w:val="auto"/>
                <w:kern w:val="0"/>
                <w:sz w:val="24"/>
                <w:szCs w:val="21"/>
              </w:rPr>
            </w:pPr>
          </w:p>
          <w:p>
            <w:pPr>
              <w:pStyle w:val="60"/>
              <w:widowControl/>
              <w:jc w:val="left"/>
              <w:rPr>
                <w:rFonts w:hint="eastAsia" w:ascii="宋体" w:hAnsi="宋体"/>
                <w:color w:val="auto"/>
                <w:kern w:val="0"/>
                <w:sz w:val="24"/>
                <w:szCs w:val="21"/>
              </w:rPr>
            </w:pPr>
          </w:p>
          <w:p>
            <w:pPr>
              <w:pStyle w:val="60"/>
              <w:widowControl/>
              <w:jc w:val="left"/>
              <w:rPr>
                <w:rFonts w:hint="eastAsia" w:ascii="宋体" w:hAnsi="宋体"/>
                <w:color w:val="auto"/>
                <w:kern w:val="0"/>
                <w:sz w:val="24"/>
                <w:szCs w:val="21"/>
              </w:rPr>
            </w:pPr>
          </w:p>
          <w:p>
            <w:pPr>
              <w:pStyle w:val="60"/>
              <w:widowControl/>
              <w:jc w:val="left"/>
              <w:rPr>
                <w:rFonts w:hint="eastAsia" w:ascii="宋体" w:hAnsi="宋体"/>
                <w:color w:val="auto"/>
                <w:kern w:val="0"/>
                <w:sz w:val="24"/>
                <w:szCs w:val="21"/>
              </w:rPr>
            </w:pPr>
          </w:p>
          <w:p>
            <w:pPr>
              <w:pStyle w:val="60"/>
              <w:widowControl/>
              <w:jc w:val="left"/>
              <w:rPr>
                <w:rFonts w:hint="eastAsia" w:ascii="宋体" w:hAnsi="宋体"/>
                <w:color w:val="auto"/>
                <w:kern w:val="0"/>
                <w:sz w:val="24"/>
                <w:szCs w:val="21"/>
              </w:rPr>
            </w:pPr>
          </w:p>
          <w:p>
            <w:pPr>
              <w:pStyle w:val="60"/>
              <w:widowControl/>
              <w:jc w:val="left"/>
              <w:rPr>
                <w:rFonts w:hint="eastAsia" w:ascii="宋体" w:hAnsi="宋体"/>
                <w:color w:val="auto"/>
                <w:kern w:val="0"/>
                <w:sz w:val="24"/>
                <w:szCs w:val="21"/>
              </w:rPr>
            </w:pPr>
          </w:p>
          <w:p>
            <w:pPr>
              <w:pStyle w:val="60"/>
              <w:widowControl/>
              <w:jc w:val="left"/>
              <w:rPr>
                <w:rFonts w:hint="eastAsia" w:ascii="宋体" w:hAnsi="宋体"/>
                <w:color w:val="auto"/>
                <w:kern w:val="0"/>
                <w:sz w:val="24"/>
                <w:szCs w:val="21"/>
              </w:rPr>
            </w:pPr>
          </w:p>
          <w:p>
            <w:pPr>
              <w:pStyle w:val="60"/>
              <w:widowControl/>
              <w:jc w:val="left"/>
              <w:rPr>
                <w:rFonts w:hint="eastAsia" w:ascii="宋体" w:hAnsi="宋体"/>
                <w:color w:val="auto"/>
                <w:kern w:val="0"/>
                <w:sz w:val="24"/>
                <w:szCs w:val="21"/>
              </w:rPr>
            </w:pPr>
          </w:p>
          <w:p>
            <w:pPr>
              <w:pStyle w:val="60"/>
              <w:widowControl/>
              <w:jc w:val="left"/>
              <w:rPr>
                <w:rFonts w:hint="eastAsia" w:ascii="宋体" w:hAnsi="宋体"/>
                <w:color w:val="auto"/>
                <w:kern w:val="0"/>
                <w:sz w:val="24"/>
                <w:szCs w:val="21"/>
              </w:rPr>
            </w:pPr>
            <w:r>
              <w:rPr>
                <w:rFonts w:hint="eastAsia" w:ascii="宋体" w:hAnsi="宋体"/>
                <w:color w:val="auto"/>
                <w:kern w:val="0"/>
                <w:sz w:val="24"/>
                <w:szCs w:val="21"/>
              </w:rPr>
              <w:t xml:space="preserve">                                             盖章：</w:t>
            </w:r>
          </w:p>
          <w:p>
            <w:pPr>
              <w:pStyle w:val="60"/>
              <w:widowControl/>
              <w:jc w:val="left"/>
              <w:rPr>
                <w:rFonts w:hint="eastAsia" w:ascii="宋体" w:hAnsi="宋体"/>
                <w:color w:val="auto"/>
                <w:kern w:val="0"/>
                <w:sz w:val="24"/>
                <w:szCs w:val="21"/>
              </w:rPr>
            </w:pPr>
            <w:r>
              <w:rPr>
                <w:rFonts w:hint="eastAsia" w:ascii="宋体" w:hAnsi="宋体"/>
                <w:color w:val="auto"/>
                <w:kern w:val="0"/>
                <w:sz w:val="24"/>
                <w:szCs w:val="21"/>
              </w:rPr>
              <w:t xml:space="preserve">                                             日期：</w:t>
            </w:r>
          </w:p>
        </w:tc>
      </w:tr>
    </w:tbl>
    <w:p>
      <w:pPr>
        <w:autoSpaceDE w:val="0"/>
        <w:autoSpaceDN w:val="0"/>
        <w:spacing w:line="360" w:lineRule="auto"/>
        <w:rPr>
          <w:rFonts w:hint="eastAsia" w:ascii="宋体" w:hAnsi="宋体"/>
          <w:b/>
          <w:bCs/>
          <w:color w:val="auto"/>
          <w:sz w:val="24"/>
        </w:rPr>
      </w:pPr>
    </w:p>
    <w:p>
      <w:pPr>
        <w:pStyle w:val="3"/>
        <w:numPr>
          <w:ilvl w:val="0"/>
          <w:numId w:val="0"/>
        </w:numPr>
        <w:tabs>
          <w:tab w:val="left" w:pos="630"/>
          <w:tab w:val="clear" w:pos="239"/>
        </w:tabs>
        <w:spacing w:before="100" w:beforeAutospacing="1" w:after="100" w:afterAutospacing="1"/>
        <w:ind w:left="756" w:hanging="576"/>
        <w:rPr>
          <w:rFonts w:hint="eastAsia"/>
          <w:color w:val="auto"/>
          <w:sz w:val="21"/>
          <w:szCs w:val="21"/>
        </w:rPr>
      </w:pPr>
      <w:r>
        <w:rPr>
          <w:rFonts w:hint="eastAsia" w:ascii="宋体" w:hAnsi="宋体" w:eastAsia="宋体" w:cs="宋体"/>
          <w:b/>
          <w:bCs/>
          <w:color w:val="auto"/>
          <w:sz w:val="24"/>
        </w:rPr>
        <w:br w:type="page"/>
      </w:r>
      <w:r>
        <w:rPr>
          <w:rFonts w:hint="eastAsia"/>
          <w:color w:val="auto"/>
        </w:rPr>
        <w:t>附件三：</w:t>
      </w:r>
    </w:p>
    <w:p>
      <w:pPr>
        <w:jc w:val="center"/>
        <w:rPr>
          <w:rFonts w:hint="eastAsia"/>
          <w:color w:val="auto"/>
          <w:sz w:val="30"/>
          <w:szCs w:val="30"/>
        </w:rPr>
      </w:pPr>
      <w:r>
        <w:rPr>
          <w:rFonts w:hint="eastAsia"/>
          <w:color w:val="auto"/>
          <w:sz w:val="30"/>
          <w:szCs w:val="30"/>
          <w:lang w:eastAsia="zh-CN"/>
        </w:rPr>
        <w:t>郁南县</w:t>
      </w:r>
      <w:r>
        <w:rPr>
          <w:rFonts w:hint="eastAsia"/>
          <w:color w:val="auto"/>
          <w:sz w:val="30"/>
          <w:szCs w:val="30"/>
        </w:rPr>
        <w:t>财政局工程造价咨询服务收费表</w:t>
      </w:r>
    </w:p>
    <w:p>
      <w:pPr>
        <w:jc w:val="center"/>
        <w:rPr>
          <w:rFonts w:hint="eastAsia"/>
          <w:color w:val="auto"/>
          <w:sz w:val="30"/>
          <w:szCs w:val="30"/>
        </w:rPr>
      </w:pPr>
      <w:r>
        <w:rPr>
          <w:rFonts w:hint="eastAsia"/>
          <w:color w:val="auto"/>
          <w:sz w:val="30"/>
          <w:szCs w:val="30"/>
        </w:rPr>
        <w:t>（竣工财务决算、结算复审）</w:t>
      </w:r>
    </w:p>
    <w:tbl>
      <w:tblPr>
        <w:tblStyle w:val="31"/>
        <w:tblW w:w="101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4"/>
        <w:gridCol w:w="742"/>
        <w:gridCol w:w="1036"/>
        <w:gridCol w:w="665"/>
        <w:gridCol w:w="928"/>
        <w:gridCol w:w="990"/>
        <w:gridCol w:w="1005"/>
        <w:gridCol w:w="1052"/>
        <w:gridCol w:w="1129"/>
        <w:gridCol w:w="22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76" w:hRule="atLeast"/>
          <w:jc w:val="center"/>
        </w:trPr>
        <w:tc>
          <w:tcPr>
            <w:tcW w:w="394" w:type="dxa"/>
            <w:vAlign w:val="top"/>
          </w:tcPr>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r>
              <w:rPr>
                <w:rFonts w:hint="eastAsia"/>
                <w:color w:val="auto"/>
                <w:sz w:val="21"/>
                <w:szCs w:val="21"/>
              </w:rPr>
              <w:t>序号</w:t>
            </w:r>
          </w:p>
        </w:tc>
        <w:tc>
          <w:tcPr>
            <w:tcW w:w="742" w:type="dxa"/>
            <w:vAlign w:val="top"/>
          </w:tcPr>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r>
              <w:rPr>
                <w:rFonts w:hint="eastAsia"/>
                <w:color w:val="auto"/>
                <w:sz w:val="21"/>
                <w:szCs w:val="21"/>
              </w:rPr>
              <w:t>咨询项目名称</w:t>
            </w:r>
          </w:p>
        </w:tc>
        <w:tc>
          <w:tcPr>
            <w:tcW w:w="1036" w:type="dxa"/>
            <w:vAlign w:val="top"/>
          </w:tcPr>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r>
              <w:rPr>
                <w:rFonts w:hint="eastAsia"/>
                <w:color w:val="auto"/>
                <w:sz w:val="21"/>
                <w:szCs w:val="21"/>
              </w:rPr>
              <w:t>服务内容</w:t>
            </w:r>
          </w:p>
        </w:tc>
        <w:tc>
          <w:tcPr>
            <w:tcW w:w="665" w:type="dxa"/>
            <w:vAlign w:val="top"/>
          </w:tcPr>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r>
              <w:rPr>
                <w:rFonts w:hint="eastAsia"/>
                <w:color w:val="auto"/>
                <w:sz w:val="21"/>
                <w:szCs w:val="21"/>
              </w:rPr>
              <w:t>计费基数</w:t>
            </w:r>
          </w:p>
        </w:tc>
        <w:tc>
          <w:tcPr>
            <w:tcW w:w="7323" w:type="dxa"/>
            <w:gridSpan w:val="6"/>
            <w:vAlign w:val="top"/>
          </w:tcPr>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r>
              <w:rPr>
                <w:rFonts w:hint="eastAsia"/>
                <w:color w:val="auto"/>
                <w:sz w:val="21"/>
                <w:szCs w:val="21"/>
              </w:rPr>
              <w:t>计费标准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70" w:hRule="atLeast"/>
          <w:jc w:val="center"/>
        </w:trPr>
        <w:tc>
          <w:tcPr>
            <w:tcW w:w="394" w:type="dxa"/>
            <w:vMerge w:val="restart"/>
            <w:vAlign w:val="center"/>
          </w:tcPr>
          <w:p>
            <w:pPr>
              <w:jc w:val="both"/>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r>
              <w:rPr>
                <w:rFonts w:hint="eastAsia"/>
                <w:color w:val="auto"/>
                <w:sz w:val="21"/>
                <w:szCs w:val="21"/>
              </w:rPr>
              <w:t>1</w:t>
            </w:r>
          </w:p>
        </w:tc>
        <w:tc>
          <w:tcPr>
            <w:tcW w:w="742" w:type="dxa"/>
            <w:vMerge w:val="restart"/>
            <w:vAlign w:val="center"/>
          </w:tcPr>
          <w:p>
            <w:pPr>
              <w:jc w:val="both"/>
              <w:rPr>
                <w:rFonts w:hint="eastAsia"/>
                <w:color w:val="auto"/>
                <w:sz w:val="21"/>
                <w:szCs w:val="21"/>
              </w:rPr>
            </w:pPr>
          </w:p>
          <w:p>
            <w:pPr>
              <w:jc w:val="center"/>
              <w:rPr>
                <w:rFonts w:hint="eastAsia"/>
                <w:color w:val="auto"/>
                <w:sz w:val="21"/>
                <w:szCs w:val="21"/>
              </w:rPr>
            </w:pPr>
          </w:p>
          <w:p>
            <w:pPr>
              <w:jc w:val="both"/>
              <w:rPr>
                <w:rFonts w:hint="eastAsia"/>
                <w:color w:val="auto"/>
                <w:sz w:val="21"/>
                <w:szCs w:val="21"/>
              </w:rPr>
            </w:pPr>
          </w:p>
          <w:p>
            <w:pPr>
              <w:jc w:val="center"/>
              <w:rPr>
                <w:rFonts w:hint="eastAsia"/>
                <w:color w:val="auto"/>
                <w:sz w:val="21"/>
                <w:szCs w:val="21"/>
              </w:rPr>
            </w:pPr>
            <w:r>
              <w:rPr>
                <w:rFonts w:hint="eastAsia"/>
                <w:color w:val="auto"/>
                <w:sz w:val="21"/>
                <w:szCs w:val="21"/>
              </w:rPr>
              <w:t>竣工财务决算审核</w:t>
            </w:r>
          </w:p>
        </w:tc>
        <w:tc>
          <w:tcPr>
            <w:tcW w:w="1036" w:type="dxa"/>
            <w:vMerge w:val="restart"/>
            <w:vAlign w:val="center"/>
          </w:tcPr>
          <w:p>
            <w:pPr>
              <w:jc w:val="both"/>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r>
              <w:rPr>
                <w:rFonts w:hint="eastAsia"/>
                <w:color w:val="auto"/>
                <w:sz w:val="21"/>
                <w:szCs w:val="21"/>
                <w:lang w:eastAsia="zh-CN"/>
              </w:rPr>
              <w:t>审</w:t>
            </w:r>
            <w:r>
              <w:rPr>
                <w:rFonts w:hint="eastAsia"/>
                <w:color w:val="auto"/>
                <w:sz w:val="21"/>
                <w:szCs w:val="21"/>
              </w:rPr>
              <w:t>核</w:t>
            </w:r>
            <w:r>
              <w:rPr>
                <w:rFonts w:hint="eastAsia"/>
                <w:color w:val="auto"/>
                <w:sz w:val="21"/>
                <w:szCs w:val="21"/>
                <w:lang w:eastAsia="zh-CN"/>
              </w:rPr>
              <w:t>项目竣工财务决算，出具审核报告</w:t>
            </w:r>
          </w:p>
        </w:tc>
        <w:tc>
          <w:tcPr>
            <w:tcW w:w="665" w:type="dxa"/>
            <w:vMerge w:val="restart"/>
            <w:vAlign w:val="center"/>
          </w:tcPr>
          <w:p>
            <w:pPr>
              <w:jc w:val="both"/>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eastAsia="宋体"/>
                <w:color w:val="auto"/>
                <w:sz w:val="21"/>
                <w:szCs w:val="21"/>
                <w:lang w:eastAsia="zh-CN"/>
              </w:rPr>
            </w:pPr>
            <w:r>
              <w:rPr>
                <w:rFonts w:hint="eastAsia"/>
                <w:color w:val="auto"/>
                <w:sz w:val="21"/>
                <w:szCs w:val="21"/>
                <w:lang w:eastAsia="zh-CN"/>
              </w:rPr>
              <w:t>审核竣工财务决算价</w:t>
            </w:r>
          </w:p>
        </w:tc>
        <w:tc>
          <w:tcPr>
            <w:tcW w:w="928" w:type="dxa"/>
            <w:vAlign w:val="center"/>
          </w:tcPr>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r>
              <w:rPr>
                <w:rFonts w:hint="eastAsia"/>
                <w:color w:val="auto"/>
                <w:sz w:val="21"/>
                <w:szCs w:val="21"/>
                <w:lang w:val="en-US" w:eastAsia="zh-CN"/>
              </w:rPr>
              <w:t>300</w:t>
            </w:r>
            <w:r>
              <w:rPr>
                <w:rFonts w:hint="eastAsia"/>
                <w:color w:val="auto"/>
                <w:sz w:val="21"/>
                <w:szCs w:val="21"/>
              </w:rPr>
              <w:t>0万元以内</w:t>
            </w:r>
          </w:p>
        </w:tc>
        <w:tc>
          <w:tcPr>
            <w:tcW w:w="990" w:type="dxa"/>
            <w:vAlign w:val="center"/>
          </w:tcPr>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eastAsia="宋体"/>
                <w:color w:val="auto"/>
                <w:sz w:val="21"/>
                <w:szCs w:val="21"/>
                <w:lang w:eastAsia="zh-CN"/>
              </w:rPr>
            </w:pPr>
            <w:r>
              <w:rPr>
                <w:rFonts w:hint="eastAsia"/>
                <w:color w:val="auto"/>
                <w:sz w:val="21"/>
                <w:szCs w:val="21"/>
                <w:lang w:val="en-US" w:eastAsia="zh-CN"/>
              </w:rPr>
              <w:t>3001-5000万元</w:t>
            </w:r>
          </w:p>
        </w:tc>
        <w:tc>
          <w:tcPr>
            <w:tcW w:w="1005" w:type="dxa"/>
            <w:vAlign w:val="center"/>
          </w:tcPr>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eastAsia="宋体"/>
                <w:color w:val="auto"/>
                <w:sz w:val="21"/>
                <w:szCs w:val="21"/>
                <w:lang w:val="en-US" w:eastAsia="zh-CN"/>
              </w:rPr>
            </w:pPr>
            <w:r>
              <w:rPr>
                <w:rFonts w:hint="eastAsia"/>
                <w:color w:val="auto"/>
                <w:sz w:val="21"/>
                <w:szCs w:val="21"/>
                <w:lang w:val="en-US" w:eastAsia="zh-CN"/>
              </w:rPr>
              <w:t>5001-1亿</w:t>
            </w:r>
          </w:p>
        </w:tc>
        <w:tc>
          <w:tcPr>
            <w:tcW w:w="1052" w:type="dxa"/>
            <w:vAlign w:val="center"/>
          </w:tcPr>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eastAsia="宋体"/>
                <w:color w:val="auto"/>
                <w:sz w:val="21"/>
                <w:szCs w:val="21"/>
                <w:lang w:eastAsia="zh-CN"/>
              </w:rPr>
            </w:pPr>
            <w:r>
              <w:rPr>
                <w:rFonts w:hint="eastAsia"/>
                <w:color w:val="auto"/>
                <w:sz w:val="21"/>
                <w:szCs w:val="21"/>
                <w:lang w:val="en-US" w:eastAsia="zh-CN"/>
              </w:rPr>
              <w:t>1亿元-5亿元</w:t>
            </w:r>
          </w:p>
        </w:tc>
        <w:tc>
          <w:tcPr>
            <w:tcW w:w="1129" w:type="dxa"/>
            <w:vAlign w:val="center"/>
          </w:tcPr>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eastAsia="宋体"/>
                <w:color w:val="auto"/>
                <w:sz w:val="21"/>
                <w:szCs w:val="21"/>
                <w:lang w:eastAsia="zh-CN"/>
              </w:rPr>
            </w:pPr>
            <w:r>
              <w:rPr>
                <w:rFonts w:hint="eastAsia"/>
                <w:color w:val="auto"/>
                <w:sz w:val="21"/>
                <w:szCs w:val="21"/>
                <w:lang w:val="en-US" w:eastAsia="zh-CN"/>
              </w:rPr>
              <w:t>5亿元以上</w:t>
            </w:r>
          </w:p>
        </w:tc>
        <w:tc>
          <w:tcPr>
            <w:tcW w:w="2219" w:type="dxa"/>
            <w:vAlign w:val="center"/>
          </w:tcPr>
          <w:p>
            <w:pPr>
              <w:jc w:val="center"/>
              <w:rPr>
                <w:rFonts w:hint="eastAsia" w:eastAsia="宋体"/>
                <w:color w:val="auto"/>
                <w:sz w:val="21"/>
                <w:szCs w:val="21"/>
                <w:lang w:eastAsia="zh-CN"/>
              </w:rPr>
            </w:pPr>
            <w:r>
              <w:rPr>
                <w:rFonts w:hint="eastAsia"/>
                <w:color w:val="auto"/>
                <w:sz w:val="21"/>
                <w:szCs w:val="21"/>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40" w:hRule="atLeast"/>
          <w:jc w:val="center"/>
        </w:trPr>
        <w:tc>
          <w:tcPr>
            <w:tcW w:w="394" w:type="dxa"/>
            <w:vMerge w:val="continue"/>
            <w:vAlign w:val="center"/>
          </w:tcPr>
          <w:p>
            <w:pPr>
              <w:jc w:val="center"/>
              <w:rPr>
                <w:rFonts w:hint="eastAsia"/>
                <w:color w:val="auto"/>
                <w:sz w:val="21"/>
                <w:szCs w:val="21"/>
              </w:rPr>
            </w:pPr>
          </w:p>
        </w:tc>
        <w:tc>
          <w:tcPr>
            <w:tcW w:w="742" w:type="dxa"/>
            <w:vMerge w:val="continue"/>
            <w:vAlign w:val="center"/>
          </w:tcPr>
          <w:p>
            <w:pPr>
              <w:jc w:val="center"/>
              <w:rPr>
                <w:rFonts w:hint="eastAsia"/>
                <w:color w:val="auto"/>
                <w:sz w:val="21"/>
                <w:szCs w:val="21"/>
              </w:rPr>
            </w:pPr>
          </w:p>
        </w:tc>
        <w:tc>
          <w:tcPr>
            <w:tcW w:w="1036" w:type="dxa"/>
            <w:vMerge w:val="continue"/>
            <w:vAlign w:val="center"/>
          </w:tcPr>
          <w:p>
            <w:pPr>
              <w:jc w:val="center"/>
              <w:rPr>
                <w:rFonts w:hint="eastAsia"/>
                <w:color w:val="auto"/>
                <w:sz w:val="21"/>
                <w:szCs w:val="21"/>
              </w:rPr>
            </w:pPr>
          </w:p>
        </w:tc>
        <w:tc>
          <w:tcPr>
            <w:tcW w:w="665" w:type="dxa"/>
            <w:vMerge w:val="continue"/>
            <w:vAlign w:val="center"/>
          </w:tcPr>
          <w:p>
            <w:pPr>
              <w:jc w:val="center"/>
              <w:rPr>
                <w:rFonts w:hint="eastAsia"/>
                <w:color w:val="auto"/>
                <w:sz w:val="21"/>
                <w:szCs w:val="21"/>
              </w:rPr>
            </w:pPr>
          </w:p>
        </w:tc>
        <w:tc>
          <w:tcPr>
            <w:tcW w:w="928" w:type="dxa"/>
            <w:vAlign w:val="center"/>
          </w:tcPr>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r>
              <w:rPr>
                <w:rFonts w:hint="eastAsia"/>
                <w:color w:val="auto"/>
                <w:sz w:val="21"/>
                <w:szCs w:val="21"/>
              </w:rPr>
              <w:t>1.</w:t>
            </w:r>
            <w:r>
              <w:rPr>
                <w:rFonts w:hint="eastAsia"/>
                <w:color w:val="auto"/>
                <w:sz w:val="21"/>
                <w:szCs w:val="21"/>
                <w:lang w:val="en-US" w:eastAsia="zh-CN"/>
              </w:rPr>
              <w:t>17</w:t>
            </w:r>
            <w:r>
              <w:rPr>
                <w:rFonts w:ascii="Arial" w:hAnsi="Arial" w:cs="Arial"/>
                <w:color w:val="auto"/>
                <w:sz w:val="21"/>
                <w:szCs w:val="21"/>
              </w:rPr>
              <w:t>‰</w:t>
            </w:r>
          </w:p>
        </w:tc>
        <w:tc>
          <w:tcPr>
            <w:tcW w:w="990" w:type="dxa"/>
            <w:vAlign w:val="center"/>
          </w:tcPr>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r>
              <w:rPr>
                <w:rFonts w:hint="eastAsia" w:ascii="Arial" w:hAnsi="Arial" w:cs="Arial"/>
                <w:color w:val="auto"/>
                <w:sz w:val="21"/>
                <w:szCs w:val="21"/>
                <w:lang w:val="en-US" w:eastAsia="zh-CN"/>
              </w:rPr>
              <w:t>0.78</w:t>
            </w:r>
            <w:r>
              <w:rPr>
                <w:rFonts w:ascii="Arial" w:hAnsi="Arial" w:cs="Arial"/>
                <w:color w:val="auto"/>
                <w:sz w:val="21"/>
                <w:szCs w:val="21"/>
              </w:rPr>
              <w:t>‰</w:t>
            </w:r>
          </w:p>
        </w:tc>
        <w:tc>
          <w:tcPr>
            <w:tcW w:w="1005" w:type="dxa"/>
            <w:vAlign w:val="center"/>
          </w:tcPr>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r>
              <w:rPr>
                <w:rFonts w:hint="eastAsia"/>
                <w:color w:val="auto"/>
                <w:sz w:val="21"/>
                <w:szCs w:val="21"/>
              </w:rPr>
              <w:t>0.</w:t>
            </w:r>
            <w:r>
              <w:rPr>
                <w:rFonts w:hint="eastAsia"/>
                <w:color w:val="auto"/>
                <w:sz w:val="21"/>
                <w:szCs w:val="21"/>
                <w:lang w:val="en-US" w:eastAsia="zh-CN"/>
              </w:rPr>
              <w:t>58</w:t>
            </w:r>
            <w:r>
              <w:rPr>
                <w:rFonts w:ascii="Arial" w:hAnsi="Arial" w:cs="Arial"/>
                <w:color w:val="auto"/>
                <w:sz w:val="21"/>
                <w:szCs w:val="21"/>
              </w:rPr>
              <w:t>‰</w:t>
            </w:r>
          </w:p>
        </w:tc>
        <w:tc>
          <w:tcPr>
            <w:tcW w:w="1052" w:type="dxa"/>
            <w:vAlign w:val="center"/>
          </w:tcPr>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r>
              <w:rPr>
                <w:rFonts w:hint="eastAsia"/>
                <w:color w:val="auto"/>
                <w:sz w:val="21"/>
                <w:szCs w:val="21"/>
              </w:rPr>
              <w:t>0.</w:t>
            </w:r>
            <w:r>
              <w:rPr>
                <w:rFonts w:hint="eastAsia"/>
                <w:color w:val="auto"/>
                <w:sz w:val="21"/>
                <w:szCs w:val="21"/>
                <w:lang w:val="en-US" w:eastAsia="zh-CN"/>
              </w:rPr>
              <w:t>45</w:t>
            </w:r>
            <w:r>
              <w:rPr>
                <w:rFonts w:ascii="Arial" w:hAnsi="Arial" w:cs="Arial"/>
                <w:color w:val="auto"/>
                <w:sz w:val="21"/>
                <w:szCs w:val="21"/>
              </w:rPr>
              <w:t>‰</w:t>
            </w:r>
          </w:p>
        </w:tc>
        <w:tc>
          <w:tcPr>
            <w:tcW w:w="1129" w:type="dxa"/>
            <w:vAlign w:val="center"/>
          </w:tcPr>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r>
              <w:rPr>
                <w:rFonts w:hint="eastAsia"/>
                <w:color w:val="auto"/>
                <w:sz w:val="21"/>
                <w:szCs w:val="21"/>
              </w:rPr>
              <w:t>0.</w:t>
            </w:r>
            <w:r>
              <w:rPr>
                <w:rFonts w:hint="eastAsia"/>
                <w:color w:val="auto"/>
                <w:sz w:val="21"/>
                <w:szCs w:val="21"/>
                <w:lang w:val="en-US" w:eastAsia="zh-CN"/>
              </w:rPr>
              <w:t>39</w:t>
            </w:r>
            <w:r>
              <w:rPr>
                <w:rFonts w:ascii="Arial" w:hAnsi="Arial" w:cs="Arial"/>
                <w:color w:val="auto"/>
                <w:sz w:val="21"/>
                <w:szCs w:val="21"/>
              </w:rPr>
              <w:t>‰</w:t>
            </w:r>
          </w:p>
        </w:tc>
        <w:tc>
          <w:tcPr>
            <w:tcW w:w="2219" w:type="dxa"/>
            <w:vAlign w:val="center"/>
          </w:tcPr>
          <w:p>
            <w:pPr>
              <w:jc w:val="both"/>
              <w:rPr>
                <w:rFonts w:hint="eastAsia" w:eastAsia="宋体"/>
                <w:color w:val="auto"/>
                <w:sz w:val="21"/>
                <w:szCs w:val="21"/>
                <w:lang w:eastAsia="zh-CN"/>
              </w:rPr>
            </w:pPr>
            <w:r>
              <w:rPr>
                <w:rFonts w:hint="eastAsia"/>
                <w:color w:val="auto"/>
                <w:sz w:val="21"/>
                <w:szCs w:val="21"/>
                <w:lang w:eastAsia="zh-CN"/>
              </w:rPr>
              <w:t>差额累进计费；单个项目审核费最高不超过</w:t>
            </w:r>
            <w:r>
              <w:rPr>
                <w:rFonts w:hint="eastAsia"/>
                <w:color w:val="auto"/>
                <w:sz w:val="21"/>
                <w:szCs w:val="21"/>
                <w:lang w:val="en-US" w:eastAsia="zh-CN"/>
              </w:rPr>
              <w:t>20万元；审核费不足2000元的按2000元计算。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35" w:hRule="atLeast"/>
          <w:jc w:val="center"/>
        </w:trPr>
        <w:tc>
          <w:tcPr>
            <w:tcW w:w="394" w:type="dxa"/>
            <w:vMerge w:val="restart"/>
            <w:vAlign w:val="top"/>
          </w:tcPr>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r>
              <w:rPr>
                <w:rFonts w:hint="eastAsia"/>
                <w:color w:val="auto"/>
                <w:sz w:val="21"/>
                <w:szCs w:val="21"/>
              </w:rPr>
              <w:t>2</w:t>
            </w:r>
          </w:p>
        </w:tc>
        <w:tc>
          <w:tcPr>
            <w:tcW w:w="742" w:type="dxa"/>
            <w:vMerge w:val="restart"/>
            <w:vAlign w:val="top"/>
          </w:tcPr>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r>
              <w:rPr>
                <w:rFonts w:hint="eastAsia"/>
                <w:color w:val="auto"/>
                <w:sz w:val="21"/>
                <w:szCs w:val="21"/>
              </w:rPr>
              <w:t>结算复审费用</w:t>
            </w:r>
          </w:p>
        </w:tc>
        <w:tc>
          <w:tcPr>
            <w:tcW w:w="1036" w:type="dxa"/>
            <w:vMerge w:val="restart"/>
            <w:vAlign w:val="top"/>
          </w:tcPr>
          <w:p>
            <w:pPr>
              <w:jc w:val="both"/>
              <w:rPr>
                <w:rFonts w:hint="eastAsia"/>
                <w:color w:val="auto"/>
                <w:sz w:val="21"/>
                <w:szCs w:val="21"/>
                <w:lang w:eastAsia="zh-CN"/>
              </w:rPr>
            </w:pPr>
          </w:p>
          <w:p>
            <w:pPr>
              <w:jc w:val="both"/>
              <w:rPr>
                <w:rFonts w:hint="eastAsia"/>
                <w:color w:val="auto"/>
                <w:sz w:val="21"/>
                <w:szCs w:val="21"/>
                <w:lang w:eastAsia="zh-CN"/>
              </w:rPr>
            </w:pPr>
          </w:p>
          <w:p>
            <w:pPr>
              <w:jc w:val="both"/>
              <w:rPr>
                <w:rFonts w:hint="eastAsia"/>
                <w:color w:val="auto"/>
                <w:sz w:val="21"/>
                <w:szCs w:val="21"/>
                <w:lang w:eastAsia="zh-CN"/>
              </w:rPr>
            </w:pPr>
          </w:p>
          <w:p>
            <w:pPr>
              <w:jc w:val="both"/>
              <w:rPr>
                <w:rFonts w:hint="eastAsia"/>
                <w:color w:val="auto"/>
                <w:sz w:val="21"/>
                <w:szCs w:val="21"/>
                <w:lang w:eastAsia="zh-CN"/>
              </w:rPr>
            </w:pPr>
          </w:p>
          <w:p>
            <w:pPr>
              <w:jc w:val="both"/>
              <w:rPr>
                <w:rFonts w:hint="eastAsia"/>
                <w:color w:val="auto"/>
                <w:sz w:val="21"/>
                <w:szCs w:val="21"/>
                <w:lang w:eastAsia="zh-CN"/>
              </w:rPr>
            </w:pPr>
          </w:p>
          <w:p>
            <w:pPr>
              <w:jc w:val="both"/>
              <w:rPr>
                <w:rFonts w:hint="eastAsia"/>
                <w:color w:val="auto"/>
                <w:sz w:val="21"/>
                <w:szCs w:val="21"/>
                <w:lang w:eastAsia="zh-CN"/>
              </w:rPr>
            </w:pPr>
          </w:p>
          <w:p>
            <w:pPr>
              <w:jc w:val="both"/>
              <w:rPr>
                <w:rFonts w:hint="eastAsia"/>
                <w:color w:val="auto"/>
                <w:sz w:val="21"/>
                <w:szCs w:val="21"/>
                <w:lang w:eastAsia="zh-CN"/>
              </w:rPr>
            </w:pPr>
          </w:p>
          <w:p>
            <w:pPr>
              <w:jc w:val="both"/>
              <w:rPr>
                <w:rFonts w:hint="eastAsia" w:eastAsia="宋体"/>
                <w:color w:val="auto"/>
                <w:sz w:val="21"/>
                <w:szCs w:val="21"/>
                <w:lang w:eastAsia="zh-CN"/>
              </w:rPr>
            </w:pPr>
            <w:r>
              <w:rPr>
                <w:rFonts w:hint="eastAsia"/>
                <w:color w:val="auto"/>
                <w:sz w:val="21"/>
                <w:szCs w:val="21"/>
                <w:lang w:eastAsia="zh-CN"/>
              </w:rPr>
              <w:t>对已初审的项目进行复核，出具复核报告</w:t>
            </w:r>
          </w:p>
        </w:tc>
        <w:tc>
          <w:tcPr>
            <w:tcW w:w="665" w:type="dxa"/>
            <w:vMerge w:val="restart"/>
            <w:vAlign w:val="top"/>
          </w:tcPr>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r>
              <w:rPr>
                <w:rFonts w:hint="eastAsia"/>
                <w:color w:val="auto"/>
                <w:sz w:val="21"/>
                <w:szCs w:val="21"/>
              </w:rPr>
              <w:t>核减额</w:t>
            </w:r>
          </w:p>
        </w:tc>
        <w:tc>
          <w:tcPr>
            <w:tcW w:w="928" w:type="dxa"/>
            <w:vAlign w:val="top"/>
          </w:tcPr>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r>
              <w:rPr>
                <w:rFonts w:hint="eastAsia"/>
                <w:color w:val="auto"/>
                <w:sz w:val="21"/>
                <w:szCs w:val="21"/>
              </w:rPr>
              <w:t>10万元以下</w:t>
            </w:r>
          </w:p>
        </w:tc>
        <w:tc>
          <w:tcPr>
            <w:tcW w:w="990" w:type="dxa"/>
            <w:vAlign w:val="top"/>
          </w:tcPr>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r>
              <w:rPr>
                <w:rFonts w:hint="eastAsia"/>
                <w:color w:val="auto"/>
                <w:sz w:val="21"/>
                <w:szCs w:val="21"/>
              </w:rPr>
              <w:t>10-50万（含）</w:t>
            </w:r>
          </w:p>
        </w:tc>
        <w:tc>
          <w:tcPr>
            <w:tcW w:w="1005" w:type="dxa"/>
            <w:vAlign w:val="top"/>
          </w:tcPr>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r>
              <w:rPr>
                <w:rFonts w:hint="eastAsia"/>
                <w:color w:val="auto"/>
                <w:sz w:val="21"/>
                <w:szCs w:val="21"/>
              </w:rPr>
              <w:t>50-100万（含）</w:t>
            </w:r>
          </w:p>
        </w:tc>
        <w:tc>
          <w:tcPr>
            <w:tcW w:w="1052" w:type="dxa"/>
            <w:vAlign w:val="top"/>
          </w:tcPr>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r>
              <w:rPr>
                <w:rFonts w:hint="eastAsia"/>
                <w:color w:val="auto"/>
                <w:sz w:val="21"/>
                <w:szCs w:val="21"/>
              </w:rPr>
              <w:t>100-500万（含）</w:t>
            </w:r>
          </w:p>
        </w:tc>
        <w:tc>
          <w:tcPr>
            <w:tcW w:w="1129" w:type="dxa"/>
            <w:vAlign w:val="top"/>
          </w:tcPr>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r>
              <w:rPr>
                <w:rFonts w:hint="eastAsia"/>
                <w:color w:val="auto"/>
                <w:sz w:val="21"/>
                <w:szCs w:val="21"/>
              </w:rPr>
              <w:t>500万以上</w:t>
            </w:r>
          </w:p>
        </w:tc>
        <w:tc>
          <w:tcPr>
            <w:tcW w:w="2219" w:type="dxa"/>
            <w:vMerge w:val="restart"/>
            <w:vAlign w:val="top"/>
          </w:tcPr>
          <w:p>
            <w:pPr>
              <w:jc w:val="center"/>
              <w:rPr>
                <w:rFonts w:hint="eastAsia"/>
                <w:color w:val="auto"/>
                <w:sz w:val="21"/>
                <w:szCs w:val="21"/>
              </w:rPr>
            </w:pPr>
          </w:p>
          <w:p>
            <w:pPr>
              <w:jc w:val="both"/>
              <w:rPr>
                <w:rFonts w:hint="eastAsia"/>
                <w:color w:val="auto"/>
                <w:sz w:val="21"/>
                <w:szCs w:val="21"/>
              </w:rPr>
            </w:pPr>
            <w:r>
              <w:rPr>
                <w:rFonts w:hint="eastAsia"/>
                <w:color w:val="auto"/>
                <w:sz w:val="21"/>
                <w:szCs w:val="21"/>
              </w:rPr>
              <w:t>结算复审只计算效益收费，按差额定率累进计算，再乘以对应折率计算最终复审费用。折率按送审金额划分，送审金额3000万元以下不打折；3000万（含）至6000万的按9折计算；6000万（含）至1亿的按8折计算；1亿（含）以上按7折计算。核减额的计算是相对初审结果作出的，即核减额=定案金额-初审结果。若出现核增时，效益收费为0，按2000元/宗计算复审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4" w:hRule="atLeast"/>
          <w:jc w:val="center"/>
        </w:trPr>
        <w:tc>
          <w:tcPr>
            <w:tcW w:w="394" w:type="dxa"/>
            <w:vMerge w:val="continue"/>
            <w:vAlign w:val="top"/>
          </w:tcPr>
          <w:p>
            <w:pPr>
              <w:jc w:val="center"/>
              <w:rPr>
                <w:rFonts w:hint="eastAsia"/>
                <w:color w:val="auto"/>
                <w:sz w:val="21"/>
                <w:szCs w:val="21"/>
              </w:rPr>
            </w:pPr>
          </w:p>
        </w:tc>
        <w:tc>
          <w:tcPr>
            <w:tcW w:w="742" w:type="dxa"/>
            <w:vMerge w:val="continue"/>
            <w:vAlign w:val="top"/>
          </w:tcPr>
          <w:p>
            <w:pPr>
              <w:jc w:val="center"/>
              <w:rPr>
                <w:rFonts w:hint="eastAsia"/>
                <w:color w:val="auto"/>
                <w:sz w:val="21"/>
                <w:szCs w:val="21"/>
              </w:rPr>
            </w:pPr>
          </w:p>
        </w:tc>
        <w:tc>
          <w:tcPr>
            <w:tcW w:w="1036" w:type="dxa"/>
            <w:vMerge w:val="continue"/>
            <w:vAlign w:val="top"/>
          </w:tcPr>
          <w:p>
            <w:pPr>
              <w:jc w:val="center"/>
              <w:rPr>
                <w:rFonts w:hint="eastAsia"/>
                <w:color w:val="auto"/>
                <w:sz w:val="21"/>
                <w:szCs w:val="21"/>
              </w:rPr>
            </w:pPr>
          </w:p>
        </w:tc>
        <w:tc>
          <w:tcPr>
            <w:tcW w:w="665" w:type="dxa"/>
            <w:vMerge w:val="continue"/>
            <w:vAlign w:val="top"/>
          </w:tcPr>
          <w:p>
            <w:pPr>
              <w:jc w:val="center"/>
              <w:rPr>
                <w:rFonts w:hint="eastAsia"/>
                <w:color w:val="auto"/>
                <w:sz w:val="21"/>
                <w:szCs w:val="21"/>
              </w:rPr>
            </w:pPr>
          </w:p>
        </w:tc>
        <w:tc>
          <w:tcPr>
            <w:tcW w:w="928" w:type="dxa"/>
            <w:vAlign w:val="top"/>
          </w:tcPr>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r>
              <w:rPr>
                <w:rFonts w:hint="eastAsia"/>
                <w:color w:val="auto"/>
                <w:sz w:val="21"/>
                <w:szCs w:val="21"/>
              </w:rPr>
              <w:t>20%</w:t>
            </w:r>
          </w:p>
        </w:tc>
        <w:tc>
          <w:tcPr>
            <w:tcW w:w="990" w:type="dxa"/>
            <w:vAlign w:val="top"/>
          </w:tcPr>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r>
              <w:rPr>
                <w:rFonts w:hint="eastAsia"/>
                <w:color w:val="auto"/>
                <w:sz w:val="21"/>
                <w:szCs w:val="21"/>
              </w:rPr>
              <w:t>15%</w:t>
            </w:r>
          </w:p>
        </w:tc>
        <w:tc>
          <w:tcPr>
            <w:tcW w:w="1005" w:type="dxa"/>
            <w:vAlign w:val="top"/>
          </w:tcPr>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r>
              <w:rPr>
                <w:rFonts w:hint="eastAsia"/>
                <w:color w:val="auto"/>
                <w:sz w:val="21"/>
                <w:szCs w:val="21"/>
              </w:rPr>
              <w:t>10%</w:t>
            </w:r>
          </w:p>
        </w:tc>
        <w:tc>
          <w:tcPr>
            <w:tcW w:w="1052" w:type="dxa"/>
            <w:vAlign w:val="top"/>
          </w:tcPr>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r>
              <w:rPr>
                <w:rFonts w:hint="eastAsia"/>
                <w:color w:val="auto"/>
                <w:sz w:val="21"/>
                <w:szCs w:val="21"/>
              </w:rPr>
              <w:t>5%</w:t>
            </w:r>
          </w:p>
        </w:tc>
        <w:tc>
          <w:tcPr>
            <w:tcW w:w="1129" w:type="dxa"/>
            <w:vAlign w:val="top"/>
          </w:tcPr>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p>
          <w:p>
            <w:pPr>
              <w:jc w:val="center"/>
              <w:rPr>
                <w:rFonts w:hint="eastAsia"/>
                <w:color w:val="auto"/>
                <w:sz w:val="21"/>
                <w:szCs w:val="21"/>
              </w:rPr>
            </w:pPr>
            <w:r>
              <w:rPr>
                <w:rFonts w:hint="eastAsia"/>
                <w:color w:val="auto"/>
                <w:sz w:val="21"/>
                <w:szCs w:val="21"/>
              </w:rPr>
              <w:t>3%</w:t>
            </w:r>
          </w:p>
        </w:tc>
        <w:tc>
          <w:tcPr>
            <w:tcW w:w="2219" w:type="dxa"/>
            <w:vMerge w:val="continue"/>
            <w:vAlign w:val="top"/>
          </w:tcPr>
          <w:p>
            <w:pPr>
              <w:jc w:val="center"/>
              <w:rPr>
                <w:rFonts w:hint="eastAsia"/>
                <w:color w:val="auto"/>
                <w:sz w:val="21"/>
                <w:szCs w:val="21"/>
              </w:rPr>
            </w:pPr>
          </w:p>
        </w:tc>
      </w:tr>
    </w:tbl>
    <w:p>
      <w:pPr>
        <w:jc w:val="center"/>
        <w:rPr>
          <w:rFonts w:hint="eastAsia"/>
          <w:color w:val="auto"/>
        </w:rPr>
      </w:pPr>
    </w:p>
    <w:p>
      <w:pPr>
        <w:rPr>
          <w:rFonts w:hint="eastAsia"/>
          <w:color w:val="auto"/>
          <w:lang w:val="en-US" w:eastAsia="zh-CN"/>
        </w:rPr>
      </w:pPr>
      <w:r>
        <w:rPr>
          <w:rFonts w:hint="eastAsia"/>
          <w:color w:val="auto"/>
          <w:lang w:val="zh-CN"/>
        </w:rPr>
        <w:t>说明：</w:t>
      </w:r>
      <w:r>
        <w:rPr>
          <w:rFonts w:hint="eastAsia"/>
          <w:color w:val="auto"/>
          <w:lang w:val="en-US" w:eastAsia="zh-CN"/>
        </w:rPr>
        <w:t>1、竣工财务决算收费标准参照2016年广东省招标标准；</w:t>
      </w:r>
    </w:p>
    <w:p>
      <w:pPr>
        <w:rPr>
          <w:rFonts w:hint="eastAsia" w:ascii="宋体" w:hAnsi="宋体"/>
          <w:b/>
          <w:color w:val="auto"/>
          <w:sz w:val="30"/>
          <w:szCs w:val="30"/>
          <w:lang w:val="en-US" w:eastAsia="zh-CN"/>
        </w:rPr>
      </w:pPr>
      <w:r>
        <w:rPr>
          <w:rFonts w:hint="eastAsia"/>
          <w:color w:val="auto"/>
          <w:lang w:val="en-US" w:eastAsia="zh-CN"/>
        </w:rPr>
        <w:t xml:space="preserve">      2、结算复核收费标准参照2016年佛山招标标准。</w:t>
      </w:r>
    </w:p>
    <w:p>
      <w:pPr>
        <w:keepNext w:val="0"/>
        <w:keepLines w:val="0"/>
        <w:pageBreakBefore w:val="0"/>
        <w:widowControl/>
        <w:kinsoku/>
        <w:wordWrap/>
        <w:overflowPunct/>
        <w:topLinePunct w:val="0"/>
        <w:autoSpaceDE w:val="0"/>
        <w:autoSpaceDN w:val="0"/>
        <w:bidi w:val="0"/>
        <w:adjustRightInd/>
        <w:snapToGrid/>
        <w:spacing w:line="600" w:lineRule="exact"/>
        <w:ind w:left="0" w:leftChars="0" w:right="0" w:rightChars="0" w:firstLine="0" w:firstLineChars="0"/>
        <w:jc w:val="left"/>
        <w:textAlignment w:val="auto"/>
        <w:outlineLvl w:val="9"/>
        <w:rPr>
          <w:rFonts w:hint="eastAsia" w:ascii="宋体" w:hAnsi="宋体" w:eastAsia="宋体" w:cs="宋体"/>
          <w:b/>
          <w:bCs/>
          <w:color w:val="auto"/>
          <w:sz w:val="24"/>
        </w:rPr>
      </w:pPr>
      <w:r>
        <w:rPr>
          <w:rFonts w:hint="eastAsia" w:ascii="宋体" w:hAnsi="宋体" w:eastAsia="宋体" w:cs="宋体"/>
          <w:b/>
          <w:bCs/>
          <w:color w:val="auto"/>
          <w:sz w:val="24"/>
        </w:rPr>
        <w:t>三、采购项目商务要求</w:t>
      </w:r>
    </w:p>
    <w:p>
      <w:pPr>
        <w:keepNext w:val="0"/>
        <w:keepLines w:val="0"/>
        <w:pageBreakBefore w:val="0"/>
        <w:widowControl/>
        <w:kinsoku/>
        <w:wordWrap/>
        <w:overflowPunct/>
        <w:topLinePunct w:val="0"/>
        <w:bidi w:val="0"/>
        <w:adjustRightInd/>
        <w:snapToGrid/>
        <w:spacing w:line="600" w:lineRule="exact"/>
        <w:ind w:left="0" w:leftChars="0" w:right="0" w:rightChars="0" w:firstLine="0" w:firstLineChars="0"/>
        <w:jc w:val="left"/>
        <w:textAlignment w:val="auto"/>
        <w:outlineLvl w:val="9"/>
        <w:rPr>
          <w:rFonts w:hint="eastAsia" w:ascii="宋体" w:hAnsi="宋体" w:eastAsia="宋体" w:cs="宋体"/>
          <w:color w:val="auto"/>
          <w:sz w:val="24"/>
        </w:rPr>
      </w:pPr>
      <w:r>
        <w:rPr>
          <w:rFonts w:hint="eastAsia" w:ascii="宋体" w:hAnsi="宋体" w:eastAsia="宋体" w:cs="宋体"/>
          <w:b/>
          <w:bCs/>
          <w:color w:val="auto"/>
          <w:sz w:val="24"/>
        </w:rPr>
        <w:t>3.</w:t>
      </w:r>
      <w:r>
        <w:rPr>
          <w:rFonts w:hint="eastAsia" w:ascii="宋体" w:hAnsi="宋体" w:eastAsia="宋体" w:cs="宋体"/>
          <w:b/>
          <w:bCs/>
          <w:color w:val="auto"/>
          <w:sz w:val="24"/>
          <w:lang w:val="en-US" w:eastAsia="zh-CN"/>
        </w:rPr>
        <w:t>1</w:t>
      </w:r>
      <w:r>
        <w:rPr>
          <w:rFonts w:hint="eastAsia" w:ascii="宋体" w:hAnsi="宋体" w:eastAsia="宋体" w:cs="宋体"/>
          <w:b/>
          <w:bCs/>
          <w:color w:val="auto"/>
          <w:sz w:val="24"/>
        </w:rPr>
        <w:t xml:space="preserve"> 验收要求：</w:t>
      </w:r>
      <w:r>
        <w:rPr>
          <w:rFonts w:hint="eastAsia" w:ascii="宋体" w:hAnsi="宋体" w:eastAsia="宋体" w:cs="宋体"/>
          <w:color w:val="auto"/>
          <w:sz w:val="24"/>
        </w:rPr>
        <w:t>根据供应商的投标承诺及行业标准、国家标准验收。</w:t>
      </w:r>
    </w:p>
    <w:p>
      <w:pPr>
        <w:keepNext w:val="0"/>
        <w:keepLines w:val="0"/>
        <w:pageBreakBefore w:val="0"/>
        <w:widowControl/>
        <w:kinsoku/>
        <w:wordWrap/>
        <w:overflowPunct/>
        <w:topLinePunct w:val="0"/>
        <w:bidi w:val="0"/>
        <w:adjustRightInd/>
        <w:snapToGrid/>
        <w:spacing w:line="600" w:lineRule="exact"/>
        <w:ind w:left="0" w:leftChars="0" w:right="0" w:rightChars="0" w:firstLine="0" w:firstLineChars="0"/>
        <w:jc w:val="left"/>
        <w:textAlignment w:val="auto"/>
        <w:outlineLvl w:val="9"/>
        <w:rPr>
          <w:rFonts w:hint="eastAsia" w:ascii="宋体" w:hAnsi="宋体" w:eastAsia="宋体" w:cs="宋体"/>
          <w:color w:val="auto"/>
          <w:sz w:val="24"/>
        </w:rPr>
      </w:pPr>
      <w:r>
        <w:rPr>
          <w:rFonts w:hint="eastAsia" w:ascii="宋体" w:hAnsi="宋体" w:eastAsia="宋体" w:cs="宋体"/>
          <w:b/>
          <w:bCs/>
          <w:color w:val="auto"/>
          <w:sz w:val="24"/>
        </w:rPr>
        <w:t>3.</w:t>
      </w:r>
      <w:r>
        <w:rPr>
          <w:rFonts w:hint="eastAsia" w:ascii="宋体" w:hAnsi="宋体" w:eastAsia="宋体" w:cs="宋体"/>
          <w:b/>
          <w:bCs/>
          <w:color w:val="auto"/>
          <w:sz w:val="24"/>
          <w:lang w:val="en-US" w:eastAsia="zh-CN"/>
        </w:rPr>
        <w:t>2</w:t>
      </w:r>
      <w:r>
        <w:rPr>
          <w:rFonts w:hint="eastAsia" w:ascii="宋体" w:hAnsi="宋体" w:eastAsia="宋体" w:cs="宋体"/>
          <w:b/>
          <w:bCs/>
          <w:color w:val="auto"/>
          <w:sz w:val="24"/>
        </w:rPr>
        <w:t xml:space="preserve"> 服务期：</w:t>
      </w:r>
      <w:r>
        <w:rPr>
          <w:rFonts w:hint="eastAsia" w:ascii="宋体" w:hAnsi="宋体" w:eastAsia="宋体" w:cs="宋体"/>
          <w:color w:val="auto"/>
          <w:sz w:val="24"/>
        </w:rPr>
        <w:t>合同签订后三年。</w:t>
      </w:r>
    </w:p>
    <w:p>
      <w:pPr>
        <w:keepNext w:val="0"/>
        <w:keepLines w:val="0"/>
        <w:pageBreakBefore w:val="0"/>
        <w:widowControl/>
        <w:kinsoku/>
        <w:wordWrap/>
        <w:overflowPunct/>
        <w:topLinePunct w:val="0"/>
        <w:bidi w:val="0"/>
        <w:adjustRightInd/>
        <w:snapToGrid/>
        <w:spacing w:line="600" w:lineRule="exact"/>
        <w:ind w:left="0" w:leftChars="0" w:right="0" w:rightChars="0" w:firstLine="0" w:firstLineChars="0"/>
        <w:jc w:val="left"/>
        <w:textAlignment w:val="auto"/>
        <w:outlineLvl w:val="9"/>
        <w:rPr>
          <w:rFonts w:hint="eastAsia" w:ascii="宋体" w:hAnsi="宋体" w:eastAsia="宋体" w:cs="宋体"/>
          <w:b/>
          <w:bCs/>
          <w:color w:val="auto"/>
          <w:sz w:val="24"/>
          <w:lang w:eastAsia="zh-CN"/>
        </w:rPr>
      </w:pPr>
    </w:p>
    <w:p>
      <w:pPr>
        <w:keepNext w:val="0"/>
        <w:keepLines w:val="0"/>
        <w:pageBreakBefore w:val="0"/>
        <w:widowControl/>
        <w:kinsoku/>
        <w:wordWrap/>
        <w:overflowPunct/>
        <w:topLinePunct w:val="0"/>
        <w:bidi w:val="0"/>
        <w:adjustRightInd/>
        <w:snapToGrid/>
        <w:spacing w:line="600" w:lineRule="exact"/>
        <w:ind w:left="0" w:leftChars="0" w:right="0" w:rightChars="0" w:firstLine="0" w:firstLineChars="0"/>
        <w:jc w:val="left"/>
        <w:textAlignment w:val="auto"/>
        <w:outlineLvl w:val="9"/>
        <w:rPr>
          <w:rFonts w:hint="eastAsia" w:ascii="宋体" w:hAnsi="宋体" w:eastAsia="宋体" w:cs="宋体"/>
          <w:color w:val="auto"/>
          <w:sz w:val="24"/>
          <w:lang w:eastAsia="zh-CN"/>
        </w:rPr>
      </w:pPr>
      <w:r>
        <w:rPr>
          <w:rFonts w:hint="eastAsia" w:ascii="宋体" w:hAnsi="宋体" w:eastAsia="宋体" w:cs="宋体"/>
          <w:b/>
          <w:bCs/>
          <w:color w:val="auto"/>
          <w:sz w:val="24"/>
          <w:lang w:eastAsia="zh-CN"/>
        </w:rPr>
        <w:t>四、付款方式</w:t>
      </w:r>
    </w:p>
    <w:p>
      <w:pPr>
        <w:keepNext w:val="0"/>
        <w:keepLines w:val="0"/>
        <w:pageBreakBefore w:val="0"/>
        <w:widowControl/>
        <w:kinsoku/>
        <w:wordWrap/>
        <w:overflowPunct/>
        <w:topLinePunct w:val="0"/>
        <w:bidi w:val="0"/>
        <w:adjustRightInd/>
        <w:snapToGrid/>
        <w:spacing w:line="600" w:lineRule="exact"/>
        <w:ind w:left="0" w:leftChars="0" w:right="0" w:rightChars="0" w:firstLine="0" w:firstLineChars="0"/>
        <w:jc w:val="left"/>
        <w:textAlignment w:val="auto"/>
        <w:outlineLvl w:val="9"/>
        <w:rPr>
          <w:rFonts w:hint="eastAsia" w:ascii="宋体" w:hAnsi="宋体" w:eastAsia="宋体" w:cs="宋体"/>
          <w:color w:val="auto"/>
          <w:sz w:val="24"/>
        </w:rPr>
      </w:pPr>
      <w:r>
        <w:rPr>
          <w:rFonts w:hint="eastAsia" w:ascii="宋体" w:hAnsi="宋体" w:eastAsia="宋体" w:cs="宋体"/>
          <w:b/>
          <w:bCs/>
          <w:color w:val="auto"/>
          <w:sz w:val="24"/>
        </w:rPr>
        <w:t>咨询酬金支付：</w:t>
      </w:r>
      <w:r>
        <w:rPr>
          <w:rFonts w:hint="eastAsia" w:ascii="宋体" w:hAnsi="宋体" w:eastAsia="宋体" w:cs="宋体"/>
          <w:color w:val="auto"/>
          <w:sz w:val="24"/>
        </w:rPr>
        <w:t>委托人不向供应商提供启动资金。审核咨询费用每季度拨付一次，供应商必须于每季度末最后一工作日，将已出具正式报告及委托人已完成该项目单项评审工作考核、但未收审核咨询费的工程项目，按委托人要求的格式填列表格送</w:t>
      </w:r>
      <w:r>
        <w:rPr>
          <w:rFonts w:hint="eastAsia" w:ascii="宋体" w:hAnsi="宋体"/>
          <w:color w:val="auto"/>
          <w:sz w:val="24"/>
          <w:lang w:eastAsia="zh-CN"/>
        </w:rPr>
        <w:t>郁南县</w:t>
      </w:r>
      <w:r>
        <w:rPr>
          <w:rFonts w:hint="eastAsia" w:ascii="宋体" w:hAnsi="宋体" w:eastAsia="宋体" w:cs="宋体"/>
          <w:color w:val="auto"/>
          <w:sz w:val="24"/>
        </w:rPr>
        <w:t>财政局投资审核中心核对。</w:t>
      </w:r>
      <w:r>
        <w:rPr>
          <w:rFonts w:hint="eastAsia" w:ascii="宋体" w:hAnsi="宋体"/>
          <w:color w:val="auto"/>
          <w:sz w:val="24"/>
          <w:lang w:eastAsia="zh-CN"/>
        </w:rPr>
        <w:t>郁南县</w:t>
      </w:r>
      <w:r>
        <w:rPr>
          <w:rFonts w:hint="eastAsia" w:ascii="宋体" w:hAnsi="宋体" w:eastAsia="宋体" w:cs="宋体"/>
          <w:color w:val="auto"/>
          <w:sz w:val="24"/>
        </w:rPr>
        <w:t>财政局投资审核中心核对并确定支付金额后，供应商向委托人提交《财政拨款申请书》及供应商开具的正式发票，委托人按</w:t>
      </w:r>
      <w:r>
        <w:rPr>
          <w:rFonts w:hint="eastAsia" w:ascii="宋体" w:hAnsi="宋体"/>
          <w:color w:val="auto"/>
          <w:sz w:val="24"/>
          <w:lang w:eastAsia="zh-CN"/>
        </w:rPr>
        <w:t>郁南县</w:t>
      </w:r>
      <w:r>
        <w:rPr>
          <w:rFonts w:hint="eastAsia" w:ascii="宋体" w:hAnsi="宋体" w:eastAsia="宋体" w:cs="宋体"/>
          <w:color w:val="auto"/>
          <w:sz w:val="24"/>
        </w:rPr>
        <w:t>财政资金拨付审批程序报批办理拨付手续，单项咨询酬金实行一次性全额支付。</w:t>
      </w:r>
    </w:p>
    <w:p>
      <w:pPr>
        <w:keepNext w:val="0"/>
        <w:keepLines w:val="0"/>
        <w:pageBreakBefore w:val="0"/>
        <w:widowControl/>
        <w:kinsoku/>
        <w:wordWrap/>
        <w:overflowPunct/>
        <w:topLinePunct w:val="0"/>
        <w:bidi w:val="0"/>
        <w:adjustRightInd/>
        <w:snapToGrid/>
        <w:spacing w:line="600" w:lineRule="exact"/>
        <w:ind w:left="0" w:leftChars="0" w:right="0" w:rightChars="0" w:firstLine="0" w:firstLineChars="0"/>
        <w:jc w:val="left"/>
        <w:textAlignment w:val="auto"/>
        <w:outlineLvl w:val="9"/>
        <w:rPr>
          <w:rFonts w:hint="eastAsia" w:ascii="宋体" w:hAnsi="宋体" w:eastAsia="宋体" w:cs="宋体"/>
          <w:color w:val="auto"/>
          <w:sz w:val="24"/>
        </w:rPr>
      </w:pPr>
      <w:r>
        <w:rPr>
          <w:rFonts w:hint="eastAsia" w:ascii="宋体" w:hAnsi="宋体" w:eastAsia="宋体" w:cs="宋体"/>
          <w:color w:val="auto"/>
          <w:sz w:val="24"/>
        </w:rPr>
        <w:t>对已按委托人要求完成，但正在被政府相关审核部门审核（审计），委托人尚未完成该项目单项评审工作考核的工程项目，待政府相关部门审核完成、委托人完成单项评审工作考核后，供应商根据其结果在季度末申报拨付。</w:t>
      </w:r>
    </w:p>
    <w:p>
      <w:pPr>
        <w:spacing w:line="480" w:lineRule="exact"/>
        <w:rPr>
          <w:rFonts w:ascii="宋体" w:hAnsi="宋体" w:cs="宋体"/>
          <w:color w:val="auto"/>
          <w:szCs w:val="21"/>
        </w:rPr>
      </w:pPr>
      <w:r>
        <w:rPr>
          <w:rFonts w:hint="eastAsia" w:ascii="宋体" w:hAnsi="宋体" w:eastAsia="宋体" w:cs="宋体"/>
          <w:color w:val="auto"/>
          <w:sz w:val="24"/>
        </w:rPr>
        <w:t>对已按委托人要求完成，但供应商未能按时申报的项目的审核咨询费，延迟到下季度申报拨付。</w:t>
      </w:r>
    </w:p>
    <w:p>
      <w:pPr>
        <w:spacing w:line="360" w:lineRule="auto"/>
        <w:jc w:val="center"/>
        <w:rPr>
          <w:rFonts w:ascii="黑体" w:eastAsia="黑体"/>
          <w:b/>
          <w:color w:val="auto"/>
          <w:sz w:val="44"/>
        </w:rPr>
      </w:pPr>
    </w:p>
    <w:p>
      <w:pPr>
        <w:spacing w:line="360" w:lineRule="auto"/>
        <w:jc w:val="center"/>
        <w:rPr>
          <w:rFonts w:ascii="黑体" w:eastAsia="黑体"/>
          <w:b/>
          <w:color w:val="auto"/>
          <w:sz w:val="44"/>
        </w:rPr>
        <w:sectPr>
          <w:footerReference r:id="rId11" w:type="default"/>
          <w:type w:val="continuous"/>
          <w:pgSz w:w="11907" w:h="16840"/>
          <w:pgMar w:top="1440" w:right="1418" w:bottom="1440" w:left="1418" w:header="851" w:footer="851" w:gutter="0"/>
          <w:pgNumType w:start="1"/>
          <w:cols w:space="720" w:num="1"/>
          <w:docGrid w:linePitch="285" w:charSpace="0"/>
        </w:sectPr>
      </w:pPr>
    </w:p>
    <w:p>
      <w:pPr>
        <w:spacing w:line="360" w:lineRule="auto"/>
        <w:jc w:val="center"/>
        <w:rPr>
          <w:rFonts w:hint="eastAsia" w:ascii="黑体" w:eastAsia="黑体"/>
          <w:b/>
          <w:color w:val="auto"/>
          <w:sz w:val="44"/>
        </w:rPr>
        <w:sectPr>
          <w:footerReference r:id="rId12" w:type="default"/>
          <w:type w:val="continuous"/>
          <w:pgSz w:w="11907" w:h="16840"/>
          <w:pgMar w:top="1440" w:right="1418" w:bottom="1440" w:left="1418" w:header="851" w:footer="851" w:gutter="0"/>
          <w:pgNumType w:start="1"/>
          <w:cols w:space="720" w:num="1"/>
          <w:docGrid w:linePitch="285" w:charSpace="0"/>
        </w:sectPr>
      </w:pPr>
    </w:p>
    <w:p>
      <w:pPr>
        <w:spacing w:line="360" w:lineRule="auto"/>
        <w:jc w:val="center"/>
        <w:rPr>
          <w:rFonts w:hint="eastAsia" w:ascii="黑体" w:eastAsia="黑体"/>
          <w:b/>
          <w:color w:val="auto"/>
          <w:sz w:val="44"/>
        </w:rPr>
        <w:sectPr>
          <w:footerReference r:id="rId13" w:type="default"/>
          <w:pgSz w:w="11907" w:h="16840"/>
          <w:pgMar w:top="1440" w:right="1418" w:bottom="1440" w:left="1418" w:header="851" w:footer="851" w:gutter="0"/>
          <w:pgNumType w:fmt="decimal" w:start="1"/>
          <w:cols w:space="720" w:num="1"/>
          <w:docGrid w:linePitch="285" w:charSpace="0"/>
        </w:sectPr>
      </w:pPr>
    </w:p>
    <w:p>
      <w:pPr>
        <w:spacing w:line="360" w:lineRule="auto"/>
        <w:jc w:val="center"/>
        <w:rPr>
          <w:rFonts w:hint="eastAsia" w:ascii="黑体" w:eastAsia="黑体"/>
          <w:b/>
          <w:color w:val="auto"/>
          <w:sz w:val="44"/>
        </w:rPr>
      </w:pPr>
    </w:p>
    <w:p>
      <w:pPr>
        <w:spacing w:line="360" w:lineRule="auto"/>
        <w:jc w:val="center"/>
        <w:rPr>
          <w:rFonts w:hint="eastAsia" w:ascii="黑体" w:eastAsia="黑体"/>
          <w:b/>
          <w:color w:val="auto"/>
          <w:sz w:val="44"/>
        </w:rPr>
      </w:pPr>
    </w:p>
    <w:p>
      <w:pPr>
        <w:spacing w:line="360" w:lineRule="auto"/>
        <w:jc w:val="center"/>
        <w:rPr>
          <w:rFonts w:hint="eastAsia" w:ascii="黑体" w:eastAsia="黑体"/>
          <w:b/>
          <w:color w:val="auto"/>
          <w:sz w:val="44"/>
        </w:rPr>
      </w:pPr>
    </w:p>
    <w:p>
      <w:pPr>
        <w:spacing w:line="360" w:lineRule="auto"/>
        <w:jc w:val="center"/>
        <w:rPr>
          <w:rFonts w:hint="eastAsia" w:ascii="黑体" w:eastAsia="黑体"/>
          <w:b/>
          <w:color w:val="auto"/>
          <w:sz w:val="44"/>
        </w:rPr>
      </w:pPr>
    </w:p>
    <w:p>
      <w:pPr>
        <w:spacing w:line="360" w:lineRule="auto"/>
        <w:jc w:val="center"/>
        <w:rPr>
          <w:rFonts w:hint="eastAsia" w:ascii="黑体" w:eastAsia="黑体"/>
          <w:b/>
          <w:color w:val="auto"/>
          <w:sz w:val="44"/>
        </w:rPr>
      </w:pPr>
    </w:p>
    <w:p>
      <w:pPr>
        <w:spacing w:line="360" w:lineRule="auto"/>
        <w:jc w:val="center"/>
        <w:rPr>
          <w:rFonts w:hint="eastAsia" w:ascii="黑体" w:eastAsia="黑体"/>
          <w:b/>
          <w:color w:val="auto"/>
          <w:sz w:val="44"/>
        </w:rPr>
      </w:pPr>
    </w:p>
    <w:p>
      <w:pPr>
        <w:spacing w:line="360" w:lineRule="auto"/>
        <w:jc w:val="center"/>
        <w:rPr>
          <w:rFonts w:ascii="黑体" w:eastAsia="黑体"/>
          <w:b/>
          <w:color w:val="auto"/>
          <w:sz w:val="44"/>
        </w:rPr>
      </w:pPr>
      <w:r>
        <w:rPr>
          <w:rFonts w:hint="eastAsia" w:ascii="黑体" w:eastAsia="黑体"/>
          <w:b/>
          <w:color w:val="auto"/>
          <w:sz w:val="44"/>
        </w:rPr>
        <w:t>第四部分</w:t>
      </w:r>
    </w:p>
    <w:p>
      <w:pPr>
        <w:rPr>
          <w:color w:val="auto"/>
        </w:rPr>
      </w:pPr>
    </w:p>
    <w:p>
      <w:pPr>
        <w:spacing w:line="360" w:lineRule="auto"/>
        <w:jc w:val="center"/>
        <w:rPr>
          <w:rFonts w:ascii="宋体"/>
          <w:color w:val="auto"/>
          <w:sz w:val="24"/>
        </w:rPr>
      </w:pPr>
      <w:r>
        <w:rPr>
          <w:rFonts w:hint="eastAsia" w:ascii="黑体" w:eastAsia="黑体"/>
          <w:b/>
          <w:color w:val="auto"/>
          <w:sz w:val="44"/>
        </w:rPr>
        <w:t>合</w:t>
      </w:r>
      <w:r>
        <w:rPr>
          <w:rFonts w:ascii="黑体" w:eastAsia="黑体"/>
          <w:b/>
          <w:color w:val="auto"/>
          <w:sz w:val="44"/>
        </w:rPr>
        <w:t xml:space="preserve"> </w:t>
      </w:r>
      <w:r>
        <w:rPr>
          <w:rFonts w:hint="eastAsia" w:ascii="黑体" w:eastAsia="黑体"/>
          <w:b/>
          <w:color w:val="auto"/>
          <w:sz w:val="44"/>
        </w:rPr>
        <w:t>同 条 款</w:t>
      </w:r>
    </w:p>
    <w:p>
      <w:pPr>
        <w:adjustRightInd w:val="0"/>
        <w:snapToGrid w:val="0"/>
        <w:spacing w:line="360" w:lineRule="auto"/>
        <w:jc w:val="center"/>
        <w:rPr>
          <w:rFonts w:ascii="宋体" w:hAnsi="宋体"/>
          <w:b/>
          <w:color w:val="auto"/>
          <w:sz w:val="48"/>
        </w:rPr>
      </w:pPr>
    </w:p>
    <w:p>
      <w:pPr>
        <w:rPr>
          <w:rFonts w:ascii="宋体" w:hAnsi="宋体"/>
          <w:color w:val="auto"/>
          <w:sz w:val="48"/>
        </w:rPr>
      </w:pPr>
    </w:p>
    <w:p>
      <w:pPr>
        <w:rPr>
          <w:rFonts w:ascii="宋体" w:hAnsi="宋体"/>
          <w:color w:val="auto"/>
          <w:sz w:val="48"/>
        </w:rPr>
      </w:pPr>
    </w:p>
    <w:p>
      <w:pPr>
        <w:rPr>
          <w:rFonts w:ascii="宋体" w:hAnsi="宋体"/>
          <w:color w:val="auto"/>
          <w:sz w:val="48"/>
        </w:rPr>
      </w:pPr>
    </w:p>
    <w:p>
      <w:pPr>
        <w:rPr>
          <w:rFonts w:ascii="宋体" w:hAnsi="宋体"/>
          <w:color w:val="auto"/>
          <w:sz w:val="48"/>
        </w:rPr>
      </w:pPr>
    </w:p>
    <w:p>
      <w:pPr>
        <w:rPr>
          <w:rFonts w:ascii="宋体" w:hAnsi="宋体"/>
          <w:color w:val="auto"/>
          <w:sz w:val="48"/>
        </w:rPr>
      </w:pPr>
    </w:p>
    <w:p>
      <w:pPr>
        <w:tabs>
          <w:tab w:val="left" w:pos="6180"/>
        </w:tabs>
        <w:adjustRightInd w:val="0"/>
        <w:snapToGrid w:val="0"/>
        <w:spacing w:line="360" w:lineRule="auto"/>
        <w:rPr>
          <w:rFonts w:ascii="宋体" w:hAnsi="宋体"/>
          <w:color w:val="auto"/>
          <w:sz w:val="48"/>
        </w:rPr>
      </w:pPr>
      <w:r>
        <w:rPr>
          <w:rFonts w:ascii="宋体" w:hAnsi="宋体"/>
          <w:color w:val="auto"/>
          <w:sz w:val="48"/>
        </w:rPr>
        <w:tab/>
      </w:r>
    </w:p>
    <w:p>
      <w:pPr>
        <w:adjustRightInd w:val="0"/>
        <w:snapToGrid w:val="0"/>
        <w:spacing w:line="480" w:lineRule="exact"/>
        <w:jc w:val="center"/>
        <w:rPr>
          <w:rFonts w:ascii="宋体" w:hAnsi="宋体"/>
          <w:b/>
          <w:color w:val="auto"/>
          <w:sz w:val="48"/>
        </w:rPr>
      </w:pPr>
      <w:r>
        <w:rPr>
          <w:color w:val="auto"/>
        </w:rPr>
        <w:br w:type="page"/>
      </w:r>
    </w:p>
    <w:p>
      <w:pPr>
        <w:adjustRightInd w:val="0"/>
        <w:snapToGrid w:val="0"/>
        <w:spacing w:line="480" w:lineRule="exact"/>
        <w:jc w:val="center"/>
        <w:rPr>
          <w:rFonts w:ascii="宋体" w:hAnsi="宋体"/>
          <w:b/>
          <w:color w:val="auto"/>
          <w:sz w:val="48"/>
        </w:rPr>
      </w:pPr>
    </w:p>
    <w:p>
      <w:pPr>
        <w:adjustRightInd w:val="0"/>
        <w:snapToGrid w:val="0"/>
        <w:spacing w:line="360" w:lineRule="auto"/>
        <w:ind w:left="15" w:leftChars="-85" w:right="-336" w:rightChars="-160" w:hanging="193" w:hangingChars="40"/>
        <w:jc w:val="center"/>
        <w:rPr>
          <w:rFonts w:hint="eastAsia" w:ascii="华文新魏" w:eastAsia="华文新魏" w:cs="宋体"/>
          <w:b/>
          <w:color w:val="auto"/>
          <w:sz w:val="48"/>
          <w:szCs w:val="48"/>
          <w:lang w:eastAsia="zh-CN"/>
        </w:rPr>
      </w:pPr>
      <w:r>
        <w:rPr>
          <w:rFonts w:hint="eastAsia" w:ascii="Calibri" w:hAnsi="Calibri" w:eastAsia="华文新魏"/>
          <w:b/>
          <w:color w:val="auto"/>
          <w:sz w:val="48"/>
          <w:szCs w:val="48"/>
          <w:lang w:eastAsia="zh-CN"/>
        </w:rPr>
        <w:t>郁南县财政局工程造价咨询定点服务项目</w:t>
      </w:r>
    </w:p>
    <w:p>
      <w:pPr>
        <w:adjustRightInd w:val="0"/>
        <w:snapToGrid w:val="0"/>
        <w:spacing w:line="360" w:lineRule="auto"/>
        <w:jc w:val="center"/>
        <w:rPr>
          <w:rFonts w:hint="eastAsia" w:ascii="华文新魏" w:eastAsia="华文新魏" w:cs="宋体"/>
          <w:color w:val="auto"/>
          <w:sz w:val="36"/>
          <w:szCs w:val="36"/>
        </w:rPr>
      </w:pPr>
    </w:p>
    <w:p>
      <w:pPr>
        <w:adjustRightInd w:val="0"/>
        <w:snapToGrid w:val="0"/>
        <w:spacing w:line="360" w:lineRule="auto"/>
        <w:jc w:val="center"/>
        <w:rPr>
          <w:rFonts w:hint="eastAsia" w:ascii="华文新魏" w:eastAsia="华文新魏"/>
          <w:b/>
          <w:color w:val="auto"/>
          <w:spacing w:val="200"/>
          <w:sz w:val="44"/>
          <w:szCs w:val="44"/>
        </w:rPr>
      </w:pPr>
      <w:r>
        <w:rPr>
          <w:rFonts w:hint="eastAsia" w:ascii="华文新魏" w:eastAsia="华文新魏"/>
          <w:b/>
          <w:color w:val="auto"/>
          <w:spacing w:val="200"/>
          <w:sz w:val="44"/>
          <w:szCs w:val="44"/>
        </w:rPr>
        <w:t>合同书格式</w:t>
      </w:r>
    </w:p>
    <w:p>
      <w:pPr>
        <w:adjustRightInd w:val="0"/>
        <w:snapToGrid w:val="0"/>
        <w:spacing w:line="360" w:lineRule="auto"/>
        <w:jc w:val="center"/>
        <w:rPr>
          <w:rFonts w:hint="eastAsia" w:ascii="华文新魏" w:eastAsia="华文新魏"/>
          <w:b/>
          <w:color w:val="auto"/>
          <w:spacing w:val="200"/>
          <w:sz w:val="52"/>
          <w:szCs w:val="52"/>
        </w:rPr>
      </w:pPr>
    </w:p>
    <w:p>
      <w:pPr>
        <w:adjustRightInd w:val="0"/>
        <w:snapToGrid w:val="0"/>
        <w:spacing w:line="360" w:lineRule="auto"/>
        <w:jc w:val="center"/>
        <w:rPr>
          <w:rFonts w:hint="eastAsia" w:ascii="华文新魏" w:eastAsia="华文新魏"/>
          <w:b/>
          <w:color w:val="auto"/>
          <w:spacing w:val="200"/>
          <w:sz w:val="52"/>
          <w:szCs w:val="52"/>
        </w:rPr>
      </w:pPr>
    </w:p>
    <w:p>
      <w:pPr>
        <w:adjustRightInd w:val="0"/>
        <w:snapToGrid w:val="0"/>
        <w:spacing w:line="360" w:lineRule="auto"/>
        <w:jc w:val="center"/>
        <w:rPr>
          <w:rFonts w:hint="eastAsia" w:ascii="华文新魏" w:eastAsia="华文新魏"/>
          <w:b/>
          <w:color w:val="auto"/>
          <w:spacing w:val="200"/>
          <w:sz w:val="52"/>
          <w:szCs w:val="52"/>
        </w:rPr>
      </w:pPr>
    </w:p>
    <w:p>
      <w:pPr>
        <w:adjustRightInd w:val="0"/>
        <w:snapToGrid w:val="0"/>
        <w:spacing w:line="360" w:lineRule="auto"/>
        <w:jc w:val="center"/>
        <w:rPr>
          <w:rFonts w:hint="eastAsia" w:ascii="宋体"/>
          <w:b/>
          <w:color w:val="auto"/>
          <w:sz w:val="32"/>
        </w:rPr>
      </w:pPr>
    </w:p>
    <w:p>
      <w:pPr>
        <w:adjustRightInd w:val="0"/>
        <w:snapToGrid w:val="0"/>
        <w:spacing w:line="360" w:lineRule="auto"/>
        <w:jc w:val="center"/>
        <w:rPr>
          <w:rFonts w:hint="eastAsia" w:ascii="宋体"/>
          <w:b/>
          <w:color w:val="auto"/>
          <w:sz w:val="32"/>
        </w:rPr>
      </w:pPr>
    </w:p>
    <w:p>
      <w:pPr>
        <w:adjustRightInd w:val="0"/>
        <w:snapToGrid w:val="0"/>
        <w:spacing w:line="360" w:lineRule="auto"/>
        <w:ind w:left="1680"/>
        <w:rPr>
          <w:rFonts w:hint="eastAsia" w:ascii="宋体"/>
          <w:b/>
          <w:color w:val="auto"/>
          <w:sz w:val="28"/>
          <w:u w:val="single"/>
        </w:rPr>
      </w:pPr>
      <w:r>
        <w:rPr>
          <w:rFonts w:hint="eastAsia" w:ascii="宋体"/>
          <w:b/>
          <w:color w:val="auto"/>
          <w:sz w:val="28"/>
        </w:rPr>
        <w:t>项目名称：</w:t>
      </w:r>
      <w:r>
        <w:rPr>
          <w:rFonts w:hint="eastAsia" w:ascii="宋体"/>
          <w:b/>
          <w:color w:val="auto"/>
          <w:sz w:val="28"/>
          <w:u w:val="single"/>
        </w:rPr>
        <w:t xml:space="preserve">                         </w:t>
      </w:r>
    </w:p>
    <w:p>
      <w:pPr>
        <w:adjustRightInd w:val="0"/>
        <w:snapToGrid w:val="0"/>
        <w:spacing w:line="360" w:lineRule="auto"/>
        <w:ind w:left="1680"/>
        <w:rPr>
          <w:rFonts w:hint="eastAsia" w:ascii="宋体"/>
          <w:b/>
          <w:color w:val="auto"/>
          <w:sz w:val="28"/>
        </w:rPr>
      </w:pPr>
      <w:r>
        <w:rPr>
          <w:rFonts w:hint="eastAsia" w:ascii="宋体"/>
          <w:b/>
          <w:color w:val="auto"/>
          <w:sz w:val="28"/>
        </w:rPr>
        <w:t>合同编号：</w:t>
      </w:r>
      <w:r>
        <w:rPr>
          <w:rFonts w:hint="eastAsia" w:ascii="宋体"/>
          <w:b/>
          <w:color w:val="auto"/>
          <w:sz w:val="28"/>
          <w:u w:val="single"/>
        </w:rPr>
        <w:t xml:space="preserve">                         </w:t>
      </w:r>
    </w:p>
    <w:p>
      <w:pPr>
        <w:adjustRightInd w:val="0"/>
        <w:snapToGrid w:val="0"/>
        <w:spacing w:line="360" w:lineRule="auto"/>
        <w:ind w:left="1680"/>
        <w:rPr>
          <w:rFonts w:hint="eastAsia" w:ascii="宋体"/>
          <w:b/>
          <w:color w:val="auto"/>
          <w:sz w:val="28"/>
        </w:rPr>
      </w:pPr>
      <w:r>
        <w:rPr>
          <w:rFonts w:hint="eastAsia" w:ascii="宋体"/>
          <w:b/>
          <w:color w:val="auto"/>
          <w:sz w:val="28"/>
        </w:rPr>
        <w:t>签约地点：</w:t>
      </w:r>
      <w:r>
        <w:rPr>
          <w:rFonts w:hint="eastAsia" w:ascii="宋体"/>
          <w:b/>
          <w:color w:val="auto"/>
          <w:sz w:val="28"/>
          <w:u w:val="single"/>
        </w:rPr>
        <w:t xml:space="preserve">                         </w:t>
      </w:r>
    </w:p>
    <w:p>
      <w:pPr>
        <w:adjustRightInd w:val="0"/>
        <w:snapToGrid w:val="0"/>
        <w:spacing w:line="360" w:lineRule="auto"/>
        <w:ind w:left="1680"/>
        <w:rPr>
          <w:rFonts w:hint="eastAsia" w:ascii="宋体"/>
          <w:b/>
          <w:color w:val="auto"/>
          <w:sz w:val="28"/>
        </w:rPr>
      </w:pPr>
      <w:r>
        <w:rPr>
          <w:rFonts w:hint="eastAsia" w:ascii="宋体"/>
          <w:b/>
          <w:color w:val="auto"/>
          <w:sz w:val="28"/>
        </w:rPr>
        <w:t>签订日期：二○一</w:t>
      </w:r>
      <w:r>
        <w:rPr>
          <w:rFonts w:hint="eastAsia" w:ascii="宋体"/>
          <w:b/>
          <w:color w:val="auto"/>
          <w:sz w:val="28"/>
          <w:lang w:val="en-US" w:eastAsia="zh-CN"/>
        </w:rPr>
        <w:t>八</w:t>
      </w:r>
      <w:r>
        <w:rPr>
          <w:rFonts w:hint="eastAsia" w:ascii="宋体"/>
          <w:b/>
          <w:color w:val="auto"/>
          <w:sz w:val="28"/>
        </w:rPr>
        <w:t>年   月     日</w:t>
      </w:r>
    </w:p>
    <w:p>
      <w:pPr>
        <w:keepNext w:val="0"/>
        <w:keepLines w:val="0"/>
        <w:pageBreakBefore w:val="0"/>
        <w:widowControl/>
        <w:kinsoku/>
        <w:wordWrap/>
        <w:overflowPunct/>
        <w:topLinePunct w:val="0"/>
        <w:autoSpaceDE/>
        <w:autoSpaceDN/>
        <w:bidi w:val="0"/>
        <w:adjustRightInd/>
        <w:snapToGrid/>
        <w:spacing w:line="600" w:lineRule="exact"/>
        <w:ind w:left="0" w:leftChars="0" w:right="0" w:rightChars="0"/>
        <w:jc w:val="left"/>
        <w:textAlignment w:val="auto"/>
        <w:outlineLvl w:val="9"/>
        <w:rPr>
          <w:rFonts w:hint="eastAsia" w:ascii="宋体" w:hAnsi="宋体"/>
          <w:b/>
          <w:color w:val="auto"/>
          <w:sz w:val="32"/>
        </w:rPr>
      </w:pPr>
      <w:r>
        <w:rPr>
          <w:rFonts w:ascii="宋体" w:hAnsi="宋体"/>
          <w:color w:val="auto"/>
          <w:sz w:val="30"/>
        </w:rPr>
        <w:br w:type="page"/>
      </w:r>
      <w:r>
        <w:rPr>
          <w:rFonts w:hint="eastAsia" w:ascii="宋体" w:hAnsi="宋体"/>
          <w:b/>
          <w:color w:val="auto"/>
        </w:rPr>
        <w:t>注：本合同条款仅供参考之用，最终以甲乙双方共同拟定并协商一致的为准。</w:t>
      </w:r>
    </w:p>
    <w:p>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723" w:firstLineChars="300"/>
        <w:jc w:val="left"/>
        <w:textAlignment w:val="auto"/>
        <w:outlineLvl w:val="9"/>
        <w:rPr>
          <w:rFonts w:ascii="新宋体" w:hAnsi="新宋体" w:eastAsia="新宋体"/>
          <w:b/>
          <w:color w:val="auto"/>
          <w:sz w:val="24"/>
        </w:rPr>
      </w:pPr>
      <w:r>
        <w:rPr>
          <w:rFonts w:ascii="新宋体" w:hAnsi="新宋体" w:eastAsia="新宋体"/>
          <w:b/>
          <w:color w:val="auto"/>
          <w:sz w:val="24"/>
        </w:rPr>
        <w:t>甲  方（采购方）：</w:t>
      </w:r>
      <w:r>
        <w:rPr>
          <w:rFonts w:ascii="新宋体" w:hAnsi="新宋体" w:eastAsia="新宋体"/>
          <w:b/>
          <w:color w:val="auto"/>
          <w:sz w:val="24"/>
          <w:u w:val="single"/>
        </w:rPr>
        <w:t xml:space="preserve">                   </w:t>
      </w:r>
    </w:p>
    <w:p>
      <w:pPr>
        <w:keepNext w:val="0"/>
        <w:keepLines w:val="0"/>
        <w:pageBreakBefore w:val="0"/>
        <w:widowControl/>
        <w:kinsoku/>
        <w:wordWrap/>
        <w:overflowPunct/>
        <w:topLinePunct w:val="0"/>
        <w:autoSpaceDE/>
        <w:autoSpaceDN/>
        <w:bidi w:val="0"/>
        <w:adjustRightInd/>
        <w:snapToGrid/>
        <w:spacing w:line="600" w:lineRule="exact"/>
        <w:ind w:left="0" w:leftChars="0" w:right="0" w:rightChars="0" w:firstLine="723" w:firstLineChars="300"/>
        <w:jc w:val="left"/>
        <w:textAlignment w:val="auto"/>
        <w:outlineLvl w:val="9"/>
        <w:rPr>
          <w:rFonts w:ascii="新宋体" w:hAnsi="新宋体" w:eastAsia="新宋体"/>
          <w:color w:val="auto"/>
          <w:sz w:val="24"/>
        </w:rPr>
      </w:pPr>
      <w:r>
        <w:rPr>
          <w:rFonts w:ascii="新宋体" w:hAnsi="新宋体" w:eastAsia="新宋体"/>
          <w:b/>
          <w:color w:val="auto"/>
          <w:sz w:val="24"/>
        </w:rPr>
        <w:t>乙  方（供应方）：</w:t>
      </w:r>
      <w:r>
        <w:rPr>
          <w:rFonts w:ascii="新宋体" w:hAnsi="新宋体" w:eastAsia="新宋体"/>
          <w:b/>
          <w:color w:val="auto"/>
          <w:sz w:val="24"/>
          <w:u w:val="single"/>
        </w:rPr>
        <w:t xml:space="preserve">                   </w:t>
      </w:r>
    </w:p>
    <w:p>
      <w:pPr>
        <w:spacing w:line="440" w:lineRule="exact"/>
        <w:ind w:firstLine="555"/>
        <w:rPr>
          <w:rFonts w:ascii="新宋体" w:hAnsi="新宋体" w:eastAsia="新宋体"/>
          <w:color w:val="auto"/>
          <w:sz w:val="24"/>
        </w:rPr>
      </w:pPr>
    </w:p>
    <w:p>
      <w:pPr>
        <w:spacing w:line="440" w:lineRule="exact"/>
        <w:ind w:firstLine="555"/>
        <w:rPr>
          <w:rFonts w:ascii="新宋体" w:hAnsi="新宋体" w:eastAsia="新宋体"/>
          <w:color w:val="auto"/>
          <w:kern w:val="28"/>
          <w:sz w:val="24"/>
        </w:rPr>
      </w:pPr>
      <w:r>
        <w:rPr>
          <w:rFonts w:ascii="新宋体" w:hAnsi="新宋体" w:eastAsia="新宋体"/>
          <w:color w:val="auto"/>
          <w:sz w:val="24"/>
        </w:rPr>
        <w:t>根据《中华人民共和国合同法》、《中华人民共和国政府采购法》</w:t>
      </w:r>
      <w:r>
        <w:rPr>
          <w:rFonts w:ascii="新宋体" w:hAnsi="新宋体" w:eastAsia="新宋体"/>
          <w:snapToGrid w:val="0"/>
          <w:color w:val="auto"/>
          <w:kern w:val="0"/>
          <w:sz w:val="24"/>
        </w:rPr>
        <w:t>、广东省实施《中华人民共和国政府采购法》办法的有关规定</w:t>
      </w:r>
      <w:r>
        <w:rPr>
          <w:rFonts w:ascii="新宋体" w:hAnsi="新宋体" w:eastAsia="新宋体"/>
          <w:color w:val="auto"/>
          <w:sz w:val="24"/>
        </w:rPr>
        <w:t>以及</w:t>
      </w:r>
      <w:r>
        <w:rPr>
          <w:rFonts w:hint="eastAsia" w:ascii="新宋体" w:hAnsi="新宋体" w:eastAsia="新宋体"/>
          <w:color w:val="auto"/>
          <w:sz w:val="24"/>
          <w:u w:val="single"/>
        </w:rPr>
        <w:t>XX</w:t>
      </w:r>
      <w:r>
        <w:rPr>
          <w:rFonts w:ascii="新宋体" w:hAnsi="新宋体" w:eastAsia="新宋体"/>
          <w:color w:val="auto"/>
          <w:sz w:val="24"/>
          <w:u w:val="single"/>
        </w:rPr>
        <w:t>年</w:t>
      </w:r>
      <w:r>
        <w:rPr>
          <w:rFonts w:hint="eastAsia" w:ascii="新宋体" w:hAnsi="新宋体" w:eastAsia="新宋体"/>
          <w:color w:val="auto"/>
          <w:sz w:val="24"/>
          <w:u w:val="single"/>
        </w:rPr>
        <w:t>XX</w:t>
      </w:r>
      <w:r>
        <w:rPr>
          <w:rFonts w:ascii="新宋体" w:hAnsi="新宋体" w:eastAsia="新宋体"/>
          <w:color w:val="auto"/>
          <w:sz w:val="24"/>
          <w:u w:val="single"/>
        </w:rPr>
        <w:t>月</w:t>
      </w:r>
      <w:r>
        <w:rPr>
          <w:rFonts w:hint="eastAsia" w:ascii="新宋体" w:hAnsi="新宋体" w:eastAsia="新宋体"/>
          <w:color w:val="auto"/>
          <w:sz w:val="24"/>
          <w:u w:val="single"/>
        </w:rPr>
        <w:t xml:space="preserve"> XX </w:t>
      </w:r>
      <w:r>
        <w:rPr>
          <w:rFonts w:ascii="新宋体" w:hAnsi="新宋体" w:eastAsia="新宋体"/>
          <w:color w:val="auto"/>
          <w:sz w:val="24"/>
        </w:rPr>
        <w:t>日</w:t>
      </w:r>
      <w:r>
        <w:rPr>
          <w:rFonts w:hint="eastAsia" w:ascii="宋体" w:hAnsi="宋体"/>
          <w:b/>
          <w:color w:val="auto"/>
          <w:sz w:val="24"/>
          <w:u w:val="single"/>
        </w:rPr>
        <w:t xml:space="preserve">    财政局</w:t>
      </w:r>
      <w:r>
        <w:rPr>
          <w:rFonts w:hint="eastAsia" w:ascii="宋体" w:hAnsi="宋体"/>
          <w:b/>
          <w:color w:val="auto"/>
          <w:sz w:val="24"/>
          <w:szCs w:val="21"/>
          <w:u w:val="single"/>
        </w:rPr>
        <w:t>工程造价咨询定点服务</w:t>
      </w:r>
      <w:r>
        <w:rPr>
          <w:rFonts w:hint="eastAsia" w:ascii="宋体" w:hAnsi="宋体"/>
          <w:b/>
          <w:color w:val="auto"/>
          <w:sz w:val="24"/>
          <w:u w:val="single"/>
        </w:rPr>
        <w:t>项目</w:t>
      </w:r>
      <w:r>
        <w:rPr>
          <w:rFonts w:ascii="新宋体" w:hAnsi="新宋体" w:eastAsia="新宋体"/>
          <w:color w:val="auto"/>
          <w:sz w:val="24"/>
        </w:rPr>
        <w:t>采购文件（项目编号：</w:t>
      </w:r>
      <w:r>
        <w:rPr>
          <w:rFonts w:hint="eastAsia" w:ascii="新宋体" w:hAnsi="新宋体" w:eastAsia="新宋体"/>
          <w:b/>
          <w:bCs/>
          <w:color w:val="auto"/>
          <w:sz w:val="24"/>
          <w:u w:val="single"/>
        </w:rPr>
        <w:t xml:space="preserve">        </w:t>
      </w:r>
      <w:r>
        <w:rPr>
          <w:rFonts w:ascii="新宋体" w:hAnsi="新宋体" w:eastAsia="新宋体"/>
          <w:color w:val="auto"/>
          <w:sz w:val="24"/>
        </w:rPr>
        <w:t>，采购代理机构：</w:t>
      </w:r>
      <w:r>
        <w:rPr>
          <w:rFonts w:hint="eastAsia" w:ascii="宋体" w:hAnsi="宋体"/>
          <w:b/>
          <w:bCs/>
          <w:color w:val="auto"/>
          <w:sz w:val="30"/>
          <w:szCs w:val="32"/>
          <w:u w:val="single"/>
        </w:rPr>
        <w:t>　　</w:t>
      </w:r>
      <w:r>
        <w:rPr>
          <w:rFonts w:ascii="新宋体" w:hAnsi="新宋体" w:eastAsia="新宋体"/>
          <w:color w:val="auto"/>
          <w:sz w:val="24"/>
        </w:rPr>
        <w:t>）的要求的招标结果，经双方协商，本着平等互利和诚实信用的原则，一致同意签订本合同如</w:t>
      </w:r>
      <w:r>
        <w:rPr>
          <w:rFonts w:ascii="新宋体" w:hAnsi="新宋体" w:eastAsia="新宋体"/>
          <w:color w:val="auto"/>
          <w:kern w:val="28"/>
          <w:sz w:val="24"/>
        </w:rPr>
        <w:t>下。</w:t>
      </w:r>
    </w:p>
    <w:p>
      <w:pPr>
        <w:pStyle w:val="70"/>
        <w:ind w:left="178" w:leftChars="85"/>
        <w:jc w:val="center"/>
        <w:rPr>
          <w:rFonts w:hint="eastAsia" w:ascii="仿宋_GB2312" w:hAnsi="Tahoma" w:eastAsia="仿宋_GB2312" w:cs="Tahoma"/>
          <w:color w:val="auto"/>
          <w:sz w:val="28"/>
          <w:szCs w:val="28"/>
        </w:rPr>
      </w:pPr>
      <w:r>
        <w:rPr>
          <w:rFonts w:hint="eastAsia" w:ascii="宋体" w:hAnsi="宋体" w:cs="Tahoma"/>
          <w:b/>
          <w:color w:val="auto"/>
          <w:sz w:val="28"/>
          <w:szCs w:val="32"/>
        </w:rPr>
        <w:t>第一部分  建设工程造价咨询合同</w:t>
      </w:r>
    </w:p>
    <w:p>
      <w:pPr>
        <w:pStyle w:val="70"/>
        <w:spacing w:line="580" w:lineRule="exact"/>
        <w:ind w:left="178" w:leftChars="85" w:firstLine="480" w:firstLineChars="200"/>
        <w:rPr>
          <w:rFonts w:hint="eastAsia" w:ascii="宋体" w:hAnsi="宋体" w:cs="Tahoma"/>
          <w:color w:val="auto"/>
          <w:sz w:val="24"/>
        </w:rPr>
      </w:pPr>
      <w:r>
        <w:rPr>
          <w:rFonts w:hint="eastAsia" w:ascii="宋体" w:hAnsi="宋体" w:cs="Tahoma"/>
          <w:color w:val="auto"/>
          <w:sz w:val="24"/>
          <w:u w:val="single"/>
        </w:rPr>
        <w:t xml:space="preserve">    </w:t>
      </w:r>
      <w:r>
        <w:rPr>
          <w:rFonts w:hint="eastAsia" w:ascii="宋体" w:hAnsi="宋体" w:cs="Tahoma"/>
          <w:i/>
          <w:color w:val="auto"/>
          <w:sz w:val="24"/>
          <w:u w:val="single"/>
        </w:rPr>
        <w:t>（采购人名称）</w:t>
      </w:r>
      <w:r>
        <w:rPr>
          <w:rFonts w:hint="eastAsia" w:ascii="宋体" w:hAnsi="宋体" w:cs="Tahoma"/>
          <w:color w:val="auto"/>
          <w:sz w:val="24"/>
          <w:u w:val="single"/>
        </w:rPr>
        <w:t xml:space="preserve">     </w:t>
      </w:r>
      <w:r>
        <w:rPr>
          <w:rFonts w:hint="eastAsia" w:ascii="宋体" w:hAnsi="宋体" w:cs="Tahoma"/>
          <w:color w:val="auto"/>
          <w:sz w:val="24"/>
        </w:rPr>
        <w:t>（以下简称委托人）与</w:t>
      </w:r>
      <w:r>
        <w:rPr>
          <w:rFonts w:hint="eastAsia" w:ascii="宋体" w:hAnsi="宋体" w:cs="Tahoma"/>
          <w:color w:val="auto"/>
          <w:sz w:val="24"/>
          <w:u w:val="single"/>
        </w:rPr>
        <w:t xml:space="preserve">      </w:t>
      </w:r>
      <w:r>
        <w:rPr>
          <w:rFonts w:hint="eastAsia" w:ascii="宋体" w:hAnsi="宋体" w:cs="Tahoma"/>
          <w:i/>
          <w:color w:val="auto"/>
          <w:sz w:val="24"/>
          <w:u w:val="single"/>
        </w:rPr>
        <w:t>（中标人名称）</w:t>
      </w:r>
      <w:r>
        <w:rPr>
          <w:rFonts w:hint="eastAsia" w:ascii="宋体" w:hAnsi="宋体" w:cs="Tahoma"/>
          <w:color w:val="auto"/>
          <w:sz w:val="24"/>
          <w:u w:val="single"/>
        </w:rPr>
        <w:t xml:space="preserve">     </w:t>
      </w:r>
      <w:r>
        <w:rPr>
          <w:rFonts w:hint="eastAsia" w:ascii="宋体" w:hAnsi="宋体" w:cs="Tahoma"/>
          <w:color w:val="auto"/>
          <w:sz w:val="24"/>
        </w:rPr>
        <w:t>（以下简称咨询人），根据《中华人民共和国政府采购法》、《中华人民共和国合同法》、</w:t>
      </w:r>
    </w:p>
    <w:p>
      <w:pPr>
        <w:pStyle w:val="70"/>
        <w:spacing w:line="580" w:lineRule="exact"/>
        <w:rPr>
          <w:rFonts w:hint="eastAsia" w:ascii="宋体" w:hAnsi="宋体" w:cs="Tahoma"/>
          <w:color w:val="auto"/>
          <w:sz w:val="24"/>
          <w:u w:val="single"/>
        </w:rPr>
      </w:pPr>
      <w:r>
        <w:rPr>
          <w:rFonts w:hint="eastAsia" w:ascii="宋体" w:hAnsi="宋体"/>
          <w:b/>
          <w:bCs/>
          <w:color w:val="auto"/>
          <w:sz w:val="30"/>
          <w:szCs w:val="32"/>
          <w:u w:val="single"/>
        </w:rPr>
        <w:t>　　　</w:t>
      </w:r>
      <w:r>
        <w:rPr>
          <w:rFonts w:hint="eastAsia" w:ascii="宋体" w:hAnsi="宋体" w:cs="Tahoma"/>
          <w:color w:val="auto"/>
          <w:sz w:val="24"/>
        </w:rPr>
        <w:t>财政局工程造价咨询定点服务采购项目（项目编号：</w:t>
      </w:r>
      <w:r>
        <w:rPr>
          <w:rFonts w:hint="eastAsia" w:ascii="宋体" w:hAnsi="宋体" w:cs="Tahoma"/>
          <w:color w:val="auto"/>
          <w:sz w:val="24"/>
          <w:u w:val="single"/>
        </w:rPr>
        <w:t xml:space="preserve">    </w:t>
      </w:r>
      <w:r>
        <w:rPr>
          <w:rFonts w:hint="eastAsia" w:ascii="宋体" w:hAnsi="宋体" w:cs="Tahoma"/>
          <w:color w:val="auto"/>
          <w:sz w:val="24"/>
        </w:rPr>
        <w:t>）的招标文件、咨询人的投标文件及该项目招标的中标通知书，经双方协商，本着平等互利和诚实信用的原则，一致同意签订本合同。</w:t>
      </w:r>
    </w:p>
    <w:p>
      <w:pPr>
        <w:pStyle w:val="70"/>
        <w:spacing w:line="580" w:lineRule="exact"/>
        <w:ind w:left="178" w:leftChars="85" w:firstLine="480" w:firstLineChars="200"/>
        <w:rPr>
          <w:rFonts w:hint="eastAsia" w:ascii="宋体" w:hAnsi="宋体" w:cs="Tahoma"/>
          <w:color w:val="auto"/>
          <w:sz w:val="24"/>
        </w:rPr>
      </w:pPr>
      <w:r>
        <w:rPr>
          <w:rFonts w:hint="eastAsia" w:ascii="宋体" w:hAnsi="宋体" w:cs="Tahoma"/>
          <w:color w:val="auto"/>
          <w:sz w:val="24"/>
        </w:rPr>
        <w:t>一、委托人委托咨询人为以下项目提供建设工程造价咨询服务：</w:t>
      </w:r>
    </w:p>
    <w:p>
      <w:pPr>
        <w:pStyle w:val="70"/>
        <w:spacing w:line="580" w:lineRule="exact"/>
        <w:ind w:left="178" w:leftChars="85" w:firstLine="480" w:firstLineChars="200"/>
        <w:rPr>
          <w:rFonts w:hint="eastAsia" w:ascii="宋体" w:hAnsi="宋体" w:cs="Arial"/>
          <w:color w:val="auto"/>
          <w:sz w:val="24"/>
        </w:rPr>
      </w:pPr>
      <w:r>
        <w:rPr>
          <w:rFonts w:hint="eastAsia" w:ascii="宋体" w:hAnsi="宋体" w:cs="Tahoma"/>
          <w:color w:val="auto"/>
          <w:sz w:val="24"/>
        </w:rPr>
        <w:t>1、项目名称：</w:t>
      </w:r>
      <w:r>
        <w:rPr>
          <w:rFonts w:hint="eastAsia" w:ascii="宋体" w:hAnsi="宋体"/>
          <w:b/>
          <w:bCs/>
          <w:color w:val="auto"/>
          <w:sz w:val="30"/>
          <w:szCs w:val="32"/>
          <w:u w:val="single"/>
        </w:rPr>
        <w:t>　　　</w:t>
      </w:r>
      <w:r>
        <w:rPr>
          <w:rFonts w:hint="eastAsia" w:ascii="宋体" w:hAnsi="宋体" w:cs="Arial"/>
          <w:color w:val="auto"/>
          <w:sz w:val="24"/>
        </w:rPr>
        <w:t>财政局工程造价咨询定点服务。</w:t>
      </w:r>
    </w:p>
    <w:p>
      <w:pPr>
        <w:pStyle w:val="70"/>
        <w:spacing w:line="580" w:lineRule="exact"/>
        <w:ind w:left="178" w:leftChars="85" w:firstLine="480" w:firstLineChars="200"/>
        <w:rPr>
          <w:rFonts w:hint="eastAsia" w:ascii="宋体" w:hAnsi="宋体"/>
          <w:color w:val="auto"/>
          <w:sz w:val="24"/>
          <w:u w:val="single"/>
        </w:rPr>
      </w:pPr>
      <w:r>
        <w:rPr>
          <w:rFonts w:hint="eastAsia" w:ascii="宋体" w:hAnsi="宋体" w:cs="Arial"/>
          <w:color w:val="auto"/>
          <w:sz w:val="24"/>
        </w:rPr>
        <w:t>2、</w:t>
      </w:r>
      <w:r>
        <w:rPr>
          <w:rFonts w:hint="eastAsia" w:ascii="宋体" w:hAnsi="宋体" w:cs="Tahoma"/>
          <w:color w:val="auto"/>
          <w:sz w:val="24"/>
        </w:rPr>
        <w:t>服务类别：</w:t>
      </w:r>
      <w:r>
        <w:rPr>
          <w:rFonts w:hint="eastAsia" w:ascii="宋体" w:hAnsi="宋体"/>
          <w:color w:val="auto"/>
          <w:sz w:val="24"/>
        </w:rPr>
        <w:t>工程项目估算、概算、最高限价、工程变更、结算的委托审核。</w:t>
      </w:r>
    </w:p>
    <w:p>
      <w:pPr>
        <w:pStyle w:val="70"/>
        <w:spacing w:line="580" w:lineRule="exact"/>
        <w:ind w:left="178" w:leftChars="85" w:firstLine="480" w:firstLineChars="200"/>
        <w:rPr>
          <w:rFonts w:hint="eastAsia" w:ascii="宋体" w:hAnsi="宋体" w:cs="Tahoma"/>
          <w:color w:val="auto"/>
          <w:sz w:val="24"/>
        </w:rPr>
      </w:pPr>
      <w:r>
        <w:rPr>
          <w:rFonts w:hint="eastAsia" w:ascii="宋体" w:hAnsi="宋体" w:cs="Tahoma"/>
          <w:color w:val="auto"/>
          <w:sz w:val="24"/>
        </w:rPr>
        <w:t>二、本合同的措词和用语与所属建设工程造价咨询合同条件及有关附件同义。</w:t>
      </w:r>
    </w:p>
    <w:p>
      <w:pPr>
        <w:pStyle w:val="70"/>
        <w:spacing w:line="580" w:lineRule="exact"/>
        <w:ind w:left="178" w:leftChars="85" w:firstLine="480" w:firstLineChars="200"/>
        <w:rPr>
          <w:rFonts w:hint="eastAsia" w:ascii="宋体" w:hAnsi="宋体" w:cs="Tahoma"/>
          <w:color w:val="auto"/>
          <w:sz w:val="24"/>
        </w:rPr>
      </w:pPr>
      <w:r>
        <w:rPr>
          <w:rFonts w:hint="eastAsia" w:ascii="宋体" w:hAnsi="宋体" w:cs="Tahoma"/>
          <w:color w:val="auto"/>
          <w:sz w:val="24"/>
        </w:rPr>
        <w:t>三、下列文件均为本合同的组成部分：</w:t>
      </w:r>
    </w:p>
    <w:p>
      <w:pPr>
        <w:pStyle w:val="70"/>
        <w:spacing w:line="580" w:lineRule="exact"/>
        <w:ind w:left="178" w:leftChars="85" w:firstLine="480" w:firstLineChars="200"/>
        <w:rPr>
          <w:rFonts w:hint="eastAsia" w:ascii="宋体" w:hAnsi="宋体" w:cs="Tahoma"/>
          <w:color w:val="auto"/>
          <w:sz w:val="24"/>
        </w:rPr>
      </w:pPr>
      <w:r>
        <w:rPr>
          <w:rFonts w:hint="eastAsia" w:ascii="宋体" w:hAnsi="宋体" w:cs="Tahoma"/>
          <w:color w:val="auto"/>
          <w:sz w:val="24"/>
        </w:rPr>
        <w:t>1、中标通知书；</w:t>
      </w:r>
    </w:p>
    <w:p>
      <w:pPr>
        <w:pStyle w:val="70"/>
        <w:spacing w:line="580" w:lineRule="exact"/>
        <w:ind w:left="178" w:leftChars="85" w:firstLine="480" w:firstLineChars="200"/>
        <w:rPr>
          <w:rFonts w:hint="eastAsia" w:ascii="宋体" w:hAnsi="宋体" w:cs="Tahoma"/>
          <w:color w:val="auto"/>
          <w:sz w:val="24"/>
        </w:rPr>
      </w:pPr>
      <w:r>
        <w:rPr>
          <w:rFonts w:hint="eastAsia" w:ascii="宋体" w:hAnsi="宋体" w:cs="Tahoma"/>
          <w:color w:val="auto"/>
          <w:sz w:val="24"/>
        </w:rPr>
        <w:t>2、本合同协议；</w:t>
      </w:r>
    </w:p>
    <w:p>
      <w:pPr>
        <w:pStyle w:val="70"/>
        <w:spacing w:line="580" w:lineRule="exact"/>
        <w:ind w:left="178" w:leftChars="85" w:firstLine="480" w:firstLineChars="200"/>
        <w:rPr>
          <w:rFonts w:hint="eastAsia" w:ascii="宋体" w:hAnsi="宋体" w:cs="Tahoma"/>
          <w:color w:val="auto"/>
          <w:sz w:val="24"/>
        </w:rPr>
      </w:pPr>
      <w:r>
        <w:rPr>
          <w:rFonts w:hint="eastAsia" w:ascii="宋体" w:hAnsi="宋体" w:cs="Tahoma"/>
          <w:color w:val="auto"/>
          <w:sz w:val="24"/>
        </w:rPr>
        <w:t>3、建设工程造价咨询合同专用条件及其附件；</w:t>
      </w:r>
    </w:p>
    <w:p>
      <w:pPr>
        <w:pStyle w:val="70"/>
        <w:spacing w:line="580" w:lineRule="exact"/>
        <w:ind w:left="178" w:leftChars="85" w:firstLine="480" w:firstLineChars="200"/>
        <w:rPr>
          <w:rFonts w:hint="eastAsia" w:ascii="宋体" w:hAnsi="宋体" w:cs="Tahoma"/>
          <w:color w:val="auto"/>
          <w:sz w:val="24"/>
        </w:rPr>
      </w:pPr>
      <w:r>
        <w:rPr>
          <w:rFonts w:hint="eastAsia" w:ascii="宋体" w:hAnsi="宋体" w:cs="Tahoma"/>
          <w:color w:val="auto"/>
          <w:sz w:val="24"/>
        </w:rPr>
        <w:t>4、建设工程造价咨询合同标准条件；</w:t>
      </w:r>
    </w:p>
    <w:p>
      <w:pPr>
        <w:pStyle w:val="70"/>
        <w:spacing w:line="580" w:lineRule="exact"/>
        <w:ind w:left="178" w:leftChars="85" w:firstLine="480" w:firstLineChars="200"/>
        <w:rPr>
          <w:rFonts w:hint="eastAsia" w:ascii="宋体" w:hAnsi="宋体" w:cs="Tahoma"/>
          <w:color w:val="auto"/>
          <w:sz w:val="24"/>
        </w:rPr>
      </w:pPr>
      <w:r>
        <w:rPr>
          <w:rFonts w:hint="eastAsia" w:ascii="宋体" w:hAnsi="宋体" w:cs="Tahoma"/>
          <w:color w:val="auto"/>
          <w:sz w:val="24"/>
        </w:rPr>
        <w:t>5、</w:t>
      </w:r>
      <w:r>
        <w:rPr>
          <w:rFonts w:hint="eastAsia" w:ascii="宋体" w:hAnsi="宋体"/>
          <w:b/>
          <w:bCs/>
          <w:color w:val="auto"/>
          <w:sz w:val="30"/>
          <w:szCs w:val="32"/>
          <w:u w:val="single"/>
        </w:rPr>
        <w:t>　　　</w:t>
      </w:r>
      <w:r>
        <w:rPr>
          <w:rFonts w:hint="eastAsia" w:ascii="宋体" w:hAnsi="宋体" w:cs="Tahoma"/>
          <w:color w:val="auto"/>
          <w:sz w:val="24"/>
        </w:rPr>
        <w:t>县财政局工程造价咨询服务专项协议；</w:t>
      </w:r>
    </w:p>
    <w:p>
      <w:pPr>
        <w:pStyle w:val="70"/>
        <w:spacing w:line="580" w:lineRule="exact"/>
        <w:ind w:left="178" w:leftChars="85" w:firstLine="480" w:firstLineChars="200"/>
        <w:rPr>
          <w:rFonts w:hint="eastAsia" w:ascii="宋体" w:hAnsi="宋体" w:cs="Tahoma"/>
          <w:color w:val="auto"/>
          <w:sz w:val="24"/>
        </w:rPr>
      </w:pPr>
      <w:r>
        <w:rPr>
          <w:rFonts w:hint="eastAsia" w:ascii="宋体" w:hAnsi="宋体" w:cs="Tahoma"/>
          <w:color w:val="auto"/>
          <w:sz w:val="24"/>
        </w:rPr>
        <w:t>6、本项目招标文件；</w:t>
      </w:r>
    </w:p>
    <w:p>
      <w:pPr>
        <w:pStyle w:val="70"/>
        <w:spacing w:line="580" w:lineRule="exact"/>
        <w:ind w:left="178" w:leftChars="85" w:firstLine="480" w:firstLineChars="200"/>
        <w:rPr>
          <w:rFonts w:hint="eastAsia" w:ascii="宋体" w:hAnsi="宋体" w:cs="Tahoma"/>
          <w:color w:val="auto"/>
          <w:sz w:val="24"/>
        </w:rPr>
      </w:pPr>
      <w:r>
        <w:rPr>
          <w:rFonts w:hint="eastAsia" w:ascii="宋体" w:hAnsi="宋体" w:cs="Tahoma"/>
          <w:color w:val="auto"/>
          <w:sz w:val="24"/>
        </w:rPr>
        <w:t>7、本项目咨询人中标的投标文件及相关服务承诺；</w:t>
      </w:r>
    </w:p>
    <w:p>
      <w:pPr>
        <w:pStyle w:val="70"/>
        <w:spacing w:line="580" w:lineRule="exact"/>
        <w:ind w:left="178" w:leftChars="85" w:firstLine="480" w:firstLineChars="200"/>
        <w:rPr>
          <w:rFonts w:hint="eastAsia" w:ascii="宋体" w:hAnsi="宋体" w:cs="Tahoma"/>
          <w:color w:val="auto"/>
          <w:sz w:val="24"/>
        </w:rPr>
      </w:pPr>
      <w:r>
        <w:rPr>
          <w:rFonts w:hint="eastAsia" w:ascii="宋体" w:hAnsi="宋体" w:cs="Tahoma"/>
          <w:color w:val="auto"/>
          <w:sz w:val="24"/>
        </w:rPr>
        <w:t>8、建设工程造价咨询合同执行中共同签署的补充与修正文件。</w:t>
      </w:r>
    </w:p>
    <w:p>
      <w:pPr>
        <w:pStyle w:val="70"/>
        <w:spacing w:line="580" w:lineRule="exact"/>
        <w:ind w:left="178" w:leftChars="85" w:firstLine="480" w:firstLineChars="200"/>
        <w:rPr>
          <w:rFonts w:hint="eastAsia" w:ascii="宋体" w:hAnsi="宋体" w:cs="Tahoma"/>
          <w:color w:val="auto"/>
          <w:sz w:val="24"/>
        </w:rPr>
      </w:pPr>
      <w:r>
        <w:rPr>
          <w:rFonts w:hint="eastAsia" w:ascii="宋体" w:hAnsi="宋体" w:cs="Tahoma"/>
          <w:color w:val="auto"/>
          <w:sz w:val="24"/>
        </w:rPr>
        <w:t>上述1～7项文件中表述上如有冲突，以顺序列前的文件的表述为准。</w:t>
      </w:r>
    </w:p>
    <w:p>
      <w:pPr>
        <w:pStyle w:val="70"/>
        <w:spacing w:line="580" w:lineRule="exact"/>
        <w:ind w:left="178" w:leftChars="85" w:firstLine="480" w:firstLineChars="200"/>
        <w:rPr>
          <w:rFonts w:hint="eastAsia" w:ascii="仿宋_GB2312" w:hAnsi="Tahoma" w:eastAsia="仿宋_GB2312" w:cs="Tahoma"/>
          <w:color w:val="auto"/>
          <w:sz w:val="28"/>
          <w:szCs w:val="28"/>
        </w:rPr>
      </w:pPr>
      <w:r>
        <w:rPr>
          <w:rFonts w:hint="eastAsia" w:ascii="宋体" w:hAnsi="宋体" w:cs="Tahoma"/>
          <w:color w:val="auto"/>
          <w:sz w:val="24"/>
        </w:rPr>
        <w:t>四、咨询人同意按照本合同的规定，根据委托人的具体委托，承担本合同专用条件及其附件、相关工程造价咨询服务专项协议中议定范围内的建设工程造价咨询业务。</w:t>
      </w:r>
    </w:p>
    <w:p>
      <w:pPr>
        <w:pStyle w:val="70"/>
        <w:spacing w:line="580" w:lineRule="exact"/>
        <w:ind w:left="178" w:leftChars="85" w:firstLine="480" w:firstLineChars="200"/>
        <w:rPr>
          <w:rFonts w:hint="eastAsia" w:ascii="宋体" w:hAnsi="宋体" w:cs="Tahoma"/>
          <w:color w:val="auto"/>
          <w:sz w:val="24"/>
        </w:rPr>
      </w:pPr>
      <w:r>
        <w:rPr>
          <w:rFonts w:hint="eastAsia" w:ascii="宋体" w:hAnsi="宋体" w:cs="Tahoma"/>
          <w:color w:val="auto"/>
          <w:sz w:val="24"/>
        </w:rPr>
        <w:t>五、委托人同意按照本合同规定的期限、方式、币种、额度向咨询人支付酬金。</w:t>
      </w:r>
    </w:p>
    <w:p>
      <w:pPr>
        <w:pStyle w:val="70"/>
        <w:spacing w:line="580" w:lineRule="exact"/>
        <w:ind w:left="178" w:leftChars="85" w:firstLine="480" w:firstLineChars="200"/>
        <w:rPr>
          <w:rFonts w:hint="eastAsia" w:ascii="宋体" w:hAnsi="宋体" w:cs="Tahoma"/>
          <w:color w:val="auto"/>
          <w:sz w:val="24"/>
        </w:rPr>
      </w:pPr>
      <w:r>
        <w:rPr>
          <w:rFonts w:hint="eastAsia" w:ascii="宋体" w:hAnsi="宋体" w:cs="Tahoma"/>
          <w:color w:val="auto"/>
          <w:sz w:val="24"/>
        </w:rPr>
        <w:t>六、委托人授予咨询人工程造价咨询定点服务资格，资格有效期为3年，自</w:t>
      </w:r>
      <w:r>
        <w:rPr>
          <w:rFonts w:ascii="宋体" w:hAnsi="宋体" w:cs="Tahoma"/>
          <w:color w:val="auto"/>
          <w:sz w:val="24"/>
          <w:u w:val="single"/>
        </w:rPr>
        <w:t xml:space="preserve">    </w:t>
      </w:r>
      <w:r>
        <w:rPr>
          <w:rFonts w:hint="eastAsia" w:ascii="宋体" w:hAnsi="宋体" w:cs="Tahoma"/>
          <w:color w:val="auto"/>
          <w:sz w:val="24"/>
        </w:rPr>
        <w:t>年</w:t>
      </w:r>
      <w:r>
        <w:rPr>
          <w:rFonts w:hint="eastAsia" w:ascii="宋体" w:hAnsi="宋体" w:cs="Tahoma"/>
          <w:color w:val="auto"/>
          <w:sz w:val="24"/>
          <w:u w:val="single"/>
        </w:rPr>
        <w:t xml:space="preserve">  </w:t>
      </w:r>
      <w:r>
        <w:rPr>
          <w:rFonts w:hint="eastAsia" w:ascii="宋体" w:hAnsi="宋体" w:cs="Tahoma"/>
          <w:color w:val="auto"/>
          <w:sz w:val="24"/>
        </w:rPr>
        <w:t>月</w:t>
      </w:r>
      <w:r>
        <w:rPr>
          <w:rFonts w:hint="eastAsia" w:ascii="宋体" w:hAnsi="宋体" w:cs="Tahoma"/>
          <w:color w:val="auto"/>
          <w:sz w:val="24"/>
          <w:u w:val="single"/>
        </w:rPr>
        <w:t xml:space="preserve">  </w:t>
      </w:r>
      <w:r>
        <w:rPr>
          <w:rFonts w:hint="eastAsia" w:ascii="宋体" w:hAnsi="宋体" w:cs="Tahoma"/>
          <w:color w:val="auto"/>
          <w:sz w:val="24"/>
        </w:rPr>
        <w:t>日开始起，至</w:t>
      </w:r>
      <w:r>
        <w:rPr>
          <w:rFonts w:ascii="宋体" w:hAnsi="宋体" w:cs="Tahoma"/>
          <w:color w:val="auto"/>
          <w:sz w:val="24"/>
          <w:u w:val="single"/>
        </w:rPr>
        <w:t xml:space="preserve">    </w:t>
      </w:r>
      <w:r>
        <w:rPr>
          <w:rFonts w:hint="eastAsia" w:ascii="宋体" w:hAnsi="宋体" w:cs="Tahoma"/>
          <w:color w:val="auto"/>
          <w:sz w:val="24"/>
        </w:rPr>
        <w:t>年</w:t>
      </w:r>
      <w:r>
        <w:rPr>
          <w:rFonts w:hint="eastAsia" w:ascii="宋体" w:hAnsi="宋体" w:cs="Tahoma"/>
          <w:color w:val="auto"/>
          <w:sz w:val="24"/>
          <w:u w:val="single"/>
        </w:rPr>
        <w:t xml:space="preserve">  </w:t>
      </w:r>
      <w:r>
        <w:rPr>
          <w:rFonts w:hint="eastAsia" w:ascii="宋体" w:hAnsi="宋体" w:cs="Tahoma"/>
          <w:color w:val="auto"/>
          <w:sz w:val="24"/>
        </w:rPr>
        <w:t>月</w:t>
      </w:r>
      <w:r>
        <w:rPr>
          <w:rFonts w:hint="eastAsia" w:ascii="宋体" w:hAnsi="宋体" w:cs="Tahoma"/>
          <w:color w:val="auto"/>
          <w:sz w:val="24"/>
          <w:u w:val="single"/>
        </w:rPr>
        <w:t xml:space="preserve">  </w:t>
      </w:r>
      <w:r>
        <w:rPr>
          <w:rFonts w:hint="eastAsia" w:ascii="宋体" w:hAnsi="宋体" w:cs="Tahoma"/>
          <w:color w:val="auto"/>
          <w:sz w:val="24"/>
        </w:rPr>
        <w:t>日止。资格有效期的终止，不影响在有效期内签订的</w:t>
      </w:r>
    </w:p>
    <w:p>
      <w:pPr>
        <w:pStyle w:val="70"/>
        <w:spacing w:line="580" w:lineRule="exact"/>
        <w:rPr>
          <w:rFonts w:hint="eastAsia" w:ascii="宋体" w:hAnsi="宋体" w:cs="Tahoma"/>
          <w:color w:val="auto"/>
          <w:sz w:val="24"/>
        </w:rPr>
      </w:pPr>
      <w:r>
        <w:rPr>
          <w:rFonts w:hint="eastAsia" w:ascii="宋体" w:hAnsi="宋体"/>
          <w:b/>
          <w:bCs/>
          <w:color w:val="auto"/>
          <w:sz w:val="30"/>
          <w:szCs w:val="32"/>
          <w:u w:val="single"/>
        </w:rPr>
        <w:t>　　　</w:t>
      </w:r>
      <w:r>
        <w:rPr>
          <w:rFonts w:hint="eastAsia" w:ascii="宋体" w:hAnsi="宋体" w:cs="Tahoma"/>
          <w:color w:val="auto"/>
          <w:sz w:val="24"/>
        </w:rPr>
        <w:t>财政局工程造价咨询服务专项协议按本合同相关条款规定实施。</w:t>
      </w:r>
      <w:r>
        <w:rPr>
          <w:rFonts w:hint="eastAsia" w:ascii="宋体" w:hAnsi="宋体"/>
          <w:color w:val="auto"/>
          <w:sz w:val="24"/>
        </w:rPr>
        <w:t>服务期内，咨询人没有出现过单项考核不及格的，委托人报请政府采购监督管理部门审批同意后，可延长两年服务期。</w:t>
      </w:r>
    </w:p>
    <w:p>
      <w:pPr>
        <w:pStyle w:val="70"/>
        <w:spacing w:line="580" w:lineRule="exact"/>
        <w:ind w:left="178" w:leftChars="85" w:firstLine="480" w:firstLineChars="200"/>
        <w:rPr>
          <w:rFonts w:hint="eastAsia" w:ascii="宋体" w:hAnsi="宋体" w:cs="Tahoma"/>
          <w:color w:val="auto"/>
          <w:sz w:val="24"/>
        </w:rPr>
      </w:pPr>
      <w:r>
        <w:rPr>
          <w:rFonts w:hint="eastAsia" w:ascii="宋体" w:hAnsi="宋体" w:cs="Tahoma"/>
          <w:color w:val="auto"/>
          <w:sz w:val="24"/>
        </w:rPr>
        <w:t>七、本合同一式四份，委托人、咨询人双方各执一份，</w:t>
      </w:r>
      <w:r>
        <w:rPr>
          <w:rFonts w:hint="eastAsia" w:ascii="宋体" w:hAnsi="宋体"/>
          <w:b/>
          <w:bCs/>
          <w:color w:val="auto"/>
          <w:sz w:val="30"/>
          <w:szCs w:val="32"/>
          <w:u w:val="single"/>
        </w:rPr>
        <w:t>　　　</w:t>
      </w:r>
      <w:r>
        <w:rPr>
          <w:rFonts w:hint="eastAsia" w:ascii="宋体" w:hAnsi="宋体" w:cs="Tahoma"/>
          <w:color w:val="auto"/>
          <w:sz w:val="24"/>
        </w:rPr>
        <w:t>釆购中心一份，</w:t>
      </w:r>
    </w:p>
    <w:p>
      <w:pPr>
        <w:pStyle w:val="70"/>
        <w:spacing w:line="580" w:lineRule="exact"/>
        <w:rPr>
          <w:rFonts w:hint="eastAsia" w:ascii="宋体" w:hAnsi="宋体" w:cs="Tahoma"/>
          <w:color w:val="auto"/>
          <w:sz w:val="24"/>
          <w:u w:val="single"/>
        </w:rPr>
      </w:pPr>
      <w:r>
        <w:rPr>
          <w:rFonts w:hint="eastAsia" w:ascii="宋体" w:hAnsi="宋体"/>
          <w:b/>
          <w:bCs/>
          <w:color w:val="auto"/>
          <w:sz w:val="30"/>
          <w:szCs w:val="32"/>
          <w:u w:val="single"/>
        </w:rPr>
        <w:t>　　　</w:t>
      </w:r>
      <w:r>
        <w:rPr>
          <w:rFonts w:hint="eastAsia" w:ascii="宋体" w:hAnsi="宋体" w:cs="Tahoma"/>
          <w:color w:val="auto"/>
          <w:sz w:val="24"/>
        </w:rPr>
        <w:t>财政局一份，均具同等法律效力。</w:t>
      </w:r>
    </w:p>
    <w:p>
      <w:pPr>
        <w:pStyle w:val="70"/>
        <w:spacing w:line="580" w:lineRule="exact"/>
        <w:ind w:left="178" w:leftChars="85" w:firstLine="480" w:firstLineChars="200"/>
        <w:rPr>
          <w:rFonts w:hint="eastAsia" w:ascii="宋体" w:hAnsi="宋体" w:cs="Tahoma"/>
          <w:color w:val="auto"/>
          <w:sz w:val="24"/>
        </w:rPr>
      </w:pPr>
    </w:p>
    <w:p>
      <w:pPr>
        <w:pStyle w:val="70"/>
        <w:spacing w:line="600" w:lineRule="exact"/>
        <w:ind w:left="178" w:leftChars="85"/>
        <w:rPr>
          <w:rFonts w:hint="eastAsia" w:ascii="宋体" w:hAnsi="宋体" w:cs="Tahoma"/>
          <w:b/>
          <w:color w:val="auto"/>
          <w:sz w:val="24"/>
        </w:rPr>
      </w:pPr>
      <w:r>
        <w:rPr>
          <w:rFonts w:hint="eastAsia" w:ascii="宋体" w:hAnsi="宋体" w:cs="Tahoma"/>
          <w:b/>
          <w:color w:val="auto"/>
          <w:sz w:val="24"/>
        </w:rPr>
        <w:t>委托人（盖章）：                               咨询人（盖章）：</w:t>
      </w:r>
    </w:p>
    <w:p>
      <w:pPr>
        <w:pStyle w:val="70"/>
        <w:spacing w:line="600" w:lineRule="exact"/>
        <w:ind w:left="178" w:leftChars="85"/>
        <w:rPr>
          <w:rFonts w:hint="eastAsia" w:ascii="宋体" w:hAnsi="宋体" w:cs="Tahoma"/>
          <w:color w:val="auto"/>
          <w:sz w:val="24"/>
        </w:rPr>
      </w:pPr>
      <w:r>
        <w:rPr>
          <w:rFonts w:hint="eastAsia" w:ascii="宋体" w:hAnsi="宋体" w:cs="Tahoma"/>
          <w:color w:val="auto"/>
          <w:sz w:val="24"/>
        </w:rPr>
        <w:t>法人代表或授权代理人（签字）：</w:t>
      </w:r>
      <w:r>
        <w:rPr>
          <w:rFonts w:ascii="宋体" w:hAnsi="宋体" w:cs="Tahoma"/>
          <w:color w:val="auto"/>
          <w:sz w:val="24"/>
        </w:rPr>
        <w:t xml:space="preserve">  </w:t>
      </w:r>
      <w:r>
        <w:rPr>
          <w:rFonts w:hint="eastAsia" w:ascii="宋体" w:hAnsi="宋体" w:cs="Tahoma"/>
          <w:color w:val="auto"/>
          <w:sz w:val="24"/>
        </w:rPr>
        <w:t xml:space="preserve">   </w:t>
      </w:r>
      <w:r>
        <w:rPr>
          <w:rFonts w:ascii="宋体" w:hAnsi="宋体" w:cs="Tahoma"/>
          <w:color w:val="auto"/>
          <w:sz w:val="24"/>
        </w:rPr>
        <w:t xml:space="preserve">      </w:t>
      </w:r>
      <w:r>
        <w:rPr>
          <w:rFonts w:hint="eastAsia" w:ascii="宋体" w:hAnsi="宋体" w:cs="Tahoma"/>
          <w:color w:val="auto"/>
          <w:sz w:val="24"/>
        </w:rPr>
        <w:t xml:space="preserve">      法人代表或授权代理人（签字）：</w:t>
      </w:r>
    </w:p>
    <w:p>
      <w:pPr>
        <w:pStyle w:val="70"/>
        <w:spacing w:line="600" w:lineRule="exact"/>
        <w:ind w:left="178" w:leftChars="85"/>
        <w:rPr>
          <w:rFonts w:hint="eastAsia" w:ascii="宋体" w:hAnsi="宋体" w:cs="Tahoma"/>
          <w:color w:val="auto"/>
          <w:sz w:val="24"/>
          <w:u w:val="single"/>
        </w:rPr>
      </w:pPr>
      <w:r>
        <w:rPr>
          <w:rFonts w:hint="eastAsia" w:ascii="宋体" w:hAnsi="宋体" w:cs="Tahoma"/>
          <w:color w:val="auto"/>
          <w:sz w:val="24"/>
          <w:u w:val="single"/>
        </w:rPr>
        <w:t xml:space="preserve">                           </w:t>
      </w:r>
      <w:r>
        <w:rPr>
          <w:rFonts w:hint="eastAsia" w:ascii="宋体" w:hAnsi="宋体" w:cs="Tahoma"/>
          <w:color w:val="auto"/>
          <w:sz w:val="24"/>
        </w:rPr>
        <w:t xml:space="preserve">                   </w:t>
      </w:r>
      <w:r>
        <w:rPr>
          <w:rFonts w:hint="eastAsia" w:ascii="宋体" w:hAnsi="宋体" w:cs="Tahoma"/>
          <w:color w:val="auto"/>
          <w:sz w:val="24"/>
          <w:u w:val="single"/>
        </w:rPr>
        <w:t xml:space="preserve">                              </w:t>
      </w:r>
    </w:p>
    <w:p>
      <w:pPr>
        <w:pStyle w:val="70"/>
        <w:spacing w:line="600" w:lineRule="exact"/>
        <w:ind w:left="178" w:leftChars="85"/>
        <w:rPr>
          <w:rFonts w:hint="eastAsia" w:ascii="宋体" w:hAnsi="宋体" w:cs="Tahoma"/>
          <w:color w:val="auto"/>
          <w:sz w:val="24"/>
        </w:rPr>
      </w:pPr>
      <w:r>
        <w:rPr>
          <w:rFonts w:hint="eastAsia" w:ascii="宋体" w:hAnsi="宋体" w:cs="Tahoma"/>
          <w:color w:val="auto"/>
          <w:sz w:val="24"/>
        </w:rPr>
        <w:t>地址：                                        地址：</w:t>
      </w:r>
    </w:p>
    <w:p>
      <w:pPr>
        <w:pStyle w:val="70"/>
        <w:spacing w:line="600" w:lineRule="exact"/>
        <w:ind w:left="178" w:leftChars="85"/>
        <w:rPr>
          <w:rFonts w:hint="eastAsia" w:ascii="宋体" w:hAnsi="宋体" w:cs="Tahoma"/>
          <w:color w:val="auto"/>
          <w:sz w:val="24"/>
        </w:rPr>
      </w:pPr>
      <w:r>
        <w:rPr>
          <w:rFonts w:hint="eastAsia" w:ascii="宋体" w:hAnsi="宋体" w:cs="Tahoma"/>
          <w:color w:val="auto"/>
          <w:sz w:val="24"/>
        </w:rPr>
        <w:t>电话：                                        电话：</w:t>
      </w:r>
    </w:p>
    <w:p>
      <w:pPr>
        <w:pStyle w:val="70"/>
        <w:spacing w:line="600" w:lineRule="exact"/>
        <w:ind w:left="178" w:leftChars="85"/>
        <w:rPr>
          <w:rFonts w:hint="eastAsia" w:ascii="宋体" w:hAnsi="宋体" w:cs="Tahoma"/>
          <w:color w:val="auto"/>
          <w:sz w:val="24"/>
        </w:rPr>
      </w:pPr>
      <w:r>
        <w:rPr>
          <w:rFonts w:hint="eastAsia" w:ascii="宋体" w:hAnsi="宋体" w:cs="Tahoma"/>
          <w:color w:val="auto"/>
          <w:sz w:val="24"/>
        </w:rPr>
        <w:t>传真：                                        传真：</w:t>
      </w:r>
    </w:p>
    <w:p>
      <w:pPr>
        <w:pStyle w:val="70"/>
        <w:spacing w:line="600" w:lineRule="exact"/>
        <w:ind w:left="178" w:leftChars="85"/>
        <w:rPr>
          <w:rFonts w:hint="eastAsia" w:ascii="宋体" w:hAnsi="宋体" w:cs="Tahoma"/>
          <w:color w:val="auto"/>
          <w:sz w:val="24"/>
        </w:rPr>
      </w:pPr>
      <w:r>
        <w:rPr>
          <w:rFonts w:hint="eastAsia" w:ascii="宋体" w:hAnsi="宋体" w:cs="Tahoma"/>
          <w:color w:val="auto"/>
          <w:sz w:val="24"/>
        </w:rPr>
        <w:t>日期：    年  月  日                          日期：    年  月  日</w:t>
      </w:r>
    </w:p>
    <w:p>
      <w:pPr>
        <w:pStyle w:val="70"/>
        <w:spacing w:line="600" w:lineRule="exact"/>
        <w:ind w:left="178" w:leftChars="85"/>
        <w:rPr>
          <w:rFonts w:hint="eastAsia" w:ascii="宋体" w:hAnsi="宋体" w:cs="Tahoma"/>
          <w:color w:val="auto"/>
          <w:sz w:val="24"/>
        </w:rPr>
      </w:pPr>
      <w:r>
        <w:rPr>
          <w:rFonts w:hint="eastAsia" w:ascii="宋体" w:hAnsi="宋体" w:cs="Tahoma"/>
          <w:color w:val="auto"/>
          <w:sz w:val="24"/>
        </w:rPr>
        <w:t>银行帐号：                                    银行帐号：</w:t>
      </w:r>
    </w:p>
    <w:p>
      <w:pPr>
        <w:pStyle w:val="70"/>
        <w:spacing w:line="600" w:lineRule="exact"/>
        <w:ind w:left="178" w:leftChars="85"/>
        <w:rPr>
          <w:rFonts w:hint="eastAsia" w:ascii="宋体" w:hAnsi="宋体" w:cs="Tahoma"/>
          <w:color w:val="auto"/>
          <w:sz w:val="24"/>
        </w:rPr>
      </w:pPr>
      <w:r>
        <w:rPr>
          <w:rFonts w:hint="eastAsia" w:ascii="宋体" w:hAnsi="宋体" w:cs="Tahoma"/>
          <w:color w:val="auto"/>
          <w:sz w:val="24"/>
        </w:rPr>
        <w:t>开户名称：                                    开户名称：</w:t>
      </w:r>
    </w:p>
    <w:p>
      <w:pPr>
        <w:pStyle w:val="70"/>
        <w:spacing w:line="600" w:lineRule="exact"/>
        <w:ind w:left="178" w:leftChars="85"/>
        <w:rPr>
          <w:rFonts w:hint="eastAsia" w:ascii="宋体" w:hAnsi="宋体" w:cs="Tahoma"/>
          <w:color w:val="auto"/>
          <w:sz w:val="24"/>
        </w:rPr>
      </w:pPr>
      <w:r>
        <w:rPr>
          <w:rFonts w:hint="eastAsia" w:ascii="宋体" w:hAnsi="宋体" w:cs="Tahoma"/>
          <w:color w:val="auto"/>
          <w:sz w:val="24"/>
        </w:rPr>
        <w:t>开户银行：                                    开户银行：</w:t>
      </w:r>
    </w:p>
    <w:p>
      <w:pPr>
        <w:pStyle w:val="70"/>
        <w:spacing w:line="600" w:lineRule="exact"/>
        <w:ind w:left="178" w:leftChars="85"/>
        <w:jc w:val="center"/>
        <w:rPr>
          <w:rFonts w:hint="eastAsia" w:ascii="仿宋_GB2312" w:hAnsi="Tahoma" w:eastAsia="仿宋_GB2312" w:cs="Tahoma"/>
          <w:color w:val="auto"/>
          <w:sz w:val="32"/>
          <w:szCs w:val="32"/>
        </w:rPr>
      </w:pPr>
      <w:r>
        <w:rPr>
          <w:rFonts w:hint="eastAsia" w:ascii="仿宋_GB2312" w:hAnsi="Tahoma" w:eastAsia="仿宋_GB2312" w:cs="Tahoma"/>
          <w:color w:val="auto"/>
          <w:sz w:val="32"/>
          <w:szCs w:val="32"/>
        </w:rPr>
        <w:br w:type="page"/>
      </w:r>
      <w:r>
        <w:rPr>
          <w:rFonts w:hint="eastAsia" w:ascii="宋体" w:hAnsi="宋体" w:cs="Tahoma"/>
          <w:b/>
          <w:color w:val="auto"/>
          <w:sz w:val="28"/>
          <w:szCs w:val="32"/>
        </w:rPr>
        <w:t>第二部分   建设工程造价咨询合同标准条件</w:t>
      </w:r>
    </w:p>
    <w:p>
      <w:pPr>
        <w:pStyle w:val="70"/>
        <w:spacing w:line="600" w:lineRule="exact"/>
        <w:ind w:left="178" w:leftChars="85"/>
        <w:jc w:val="center"/>
        <w:rPr>
          <w:rFonts w:hint="eastAsia" w:ascii="宋体" w:hAnsi="宋体" w:cs="Tahoma"/>
          <w:b/>
          <w:color w:val="auto"/>
          <w:sz w:val="28"/>
          <w:szCs w:val="28"/>
        </w:rPr>
      </w:pPr>
      <w:r>
        <w:rPr>
          <w:rFonts w:hint="eastAsia" w:ascii="宋体" w:hAnsi="宋体" w:cs="Tahoma"/>
          <w:b/>
          <w:color w:val="auto"/>
          <w:sz w:val="28"/>
          <w:szCs w:val="28"/>
        </w:rPr>
        <w:t>词语定义、适用语言和法律、法规</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第一条  下列名词和用语，除上下文另有规定外具有如下含义。</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1、“委托人”是指委托建设工程造价咨询业务和聘用工程造价咨询单位的一方，以及其合法继承人。</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2、“咨询人”是指承担建设工程造价咨询业务和工程造价咨询责任的一方，以及其合法继承人。</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3、“第三人”是指除委托人、咨询人以外与本咨询业务有关的当事人。</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4、“日”是指任何一天零时至第二天零时的时间段。</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第二条  建设工程造价咨询合同适用的是中国的法律、法规，以及专用条件中议定的部门规章、工程造价有关计价办法和规定或项目所在地的地方法规、地方规章。</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第三条  建设工程造价咨询合同的书写、解释和说明，以汉语为主导语言。当不同语言文本发生不同解释时，以汉语合同文本为准。</w:t>
      </w:r>
    </w:p>
    <w:p>
      <w:pPr>
        <w:pStyle w:val="70"/>
        <w:spacing w:line="600" w:lineRule="exact"/>
        <w:ind w:left="178" w:leftChars="85"/>
        <w:jc w:val="center"/>
        <w:rPr>
          <w:rFonts w:hint="eastAsia" w:ascii="宋体" w:hAnsi="宋体" w:cs="Tahoma"/>
          <w:b/>
          <w:color w:val="auto"/>
          <w:sz w:val="28"/>
          <w:szCs w:val="28"/>
        </w:rPr>
      </w:pPr>
      <w:r>
        <w:rPr>
          <w:rFonts w:hint="eastAsia" w:ascii="宋体" w:hAnsi="宋体" w:cs="Tahoma"/>
          <w:b/>
          <w:color w:val="auto"/>
          <w:sz w:val="28"/>
          <w:szCs w:val="28"/>
        </w:rPr>
        <w:t>咨询人的义务</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第四条  向委托人提供与工程造价咨询业务有关的资料，包括工程造价咨询的资质证书及承担本合同业务的专业人员名单、咨询工作</w:t>
      </w:r>
      <w:r>
        <w:rPr>
          <w:rFonts w:ascii="宋体" w:hAnsi="宋体" w:cs="Tahoma"/>
          <w:color w:val="auto"/>
          <w:sz w:val="24"/>
        </w:rPr>
        <w:fldChar w:fldCharType="begin"/>
      </w:r>
      <w:r>
        <w:rPr>
          <w:rFonts w:ascii="宋体" w:hAnsi="宋体" w:cs="Tahoma"/>
          <w:color w:val="auto"/>
          <w:sz w:val="24"/>
        </w:rPr>
        <w:instrText xml:space="preserve"> HYPERLINK "http://www.4oa.com" </w:instrText>
      </w:r>
      <w:r>
        <w:rPr>
          <w:rFonts w:ascii="宋体" w:hAnsi="宋体" w:cs="Tahoma"/>
          <w:color w:val="auto"/>
          <w:sz w:val="24"/>
        </w:rPr>
        <w:fldChar w:fldCharType="separate"/>
      </w:r>
      <w:r>
        <w:rPr>
          <w:rFonts w:hint="eastAsia"/>
          <w:color w:val="auto"/>
          <w:sz w:val="24"/>
        </w:rPr>
        <w:t>计划</w:t>
      </w:r>
      <w:r>
        <w:rPr>
          <w:rFonts w:ascii="宋体" w:hAnsi="宋体" w:cs="Tahoma"/>
          <w:color w:val="auto"/>
          <w:sz w:val="24"/>
        </w:rPr>
        <w:fldChar w:fldCharType="end"/>
      </w:r>
      <w:r>
        <w:rPr>
          <w:rFonts w:hint="eastAsia" w:ascii="宋体" w:hAnsi="宋体" w:cs="Tahoma"/>
          <w:color w:val="auto"/>
          <w:sz w:val="24"/>
        </w:rPr>
        <w:t>等，并按合同专用条件中约定的范围实施咨询业务。</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第五条  咨询人在履行本合同期间，向委托人提供的服务包括正常服务、附加服务和额外服务。</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1、“正常服务”是指双方在专用条件中约定的工程造价咨询工作；</w:t>
      </w:r>
    </w:p>
    <w:p>
      <w:pPr>
        <w:pStyle w:val="70"/>
        <w:spacing w:line="600" w:lineRule="exact"/>
        <w:ind w:left="178" w:leftChars="85" w:firstLine="480" w:firstLineChars="200"/>
        <w:rPr>
          <w:rFonts w:hint="eastAsia" w:ascii="仿宋_GB2312" w:hAnsi="Tahoma" w:eastAsia="仿宋_GB2312" w:cs="Tahoma"/>
          <w:color w:val="auto"/>
          <w:sz w:val="28"/>
          <w:szCs w:val="28"/>
        </w:rPr>
      </w:pPr>
      <w:r>
        <w:rPr>
          <w:rFonts w:hint="eastAsia" w:ascii="宋体" w:hAnsi="宋体" w:cs="Tahoma"/>
          <w:color w:val="auto"/>
          <w:sz w:val="24"/>
        </w:rPr>
        <w:t>2、“附加服务”是指在“正常服务”以外，经双方书面协议确定的附加服务；</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3、“额外服务”是指不属于“正常服务”和“附加服务”，但根据合同标准条件第十三条、第二十条和二十二条的规定，咨询人应增加的额外工作量。</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第六条  在履行合同期间或合同规定期限内，不得泄露与本合同规定业务活动有关的保密资料。</w:t>
      </w:r>
    </w:p>
    <w:p>
      <w:pPr>
        <w:pStyle w:val="70"/>
        <w:spacing w:line="600" w:lineRule="exact"/>
        <w:ind w:left="178" w:leftChars="85"/>
        <w:jc w:val="center"/>
        <w:rPr>
          <w:rFonts w:hint="eastAsia" w:ascii="宋体" w:hAnsi="宋体" w:cs="Tahoma"/>
          <w:b/>
          <w:color w:val="auto"/>
          <w:sz w:val="28"/>
          <w:szCs w:val="28"/>
        </w:rPr>
      </w:pPr>
      <w:r>
        <w:rPr>
          <w:rFonts w:hint="eastAsia" w:ascii="宋体" w:hAnsi="宋体" w:cs="Tahoma"/>
          <w:b/>
          <w:color w:val="auto"/>
          <w:sz w:val="28"/>
          <w:szCs w:val="28"/>
        </w:rPr>
        <w:t>委托人的义务</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第七条  委托人应负责与本建设工程造价咨询业务有关的第三人的协调，为咨询人工作提供外部条件。</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第八条  委托人应当在约定的时间内，免费向咨询人提供与本项目咨询业务有关的资料。</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第九条  委托人应当在约定的时间内就咨询人书面提交并要求做出答复的事宜做出书面答复。咨询人要求第三人提供有关资料时，委托人应负责转达及资料转送。</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第十条  委托人应当授权胜任本咨询业务的代表，负责与咨询人联系。</w:t>
      </w:r>
    </w:p>
    <w:p>
      <w:pPr>
        <w:pStyle w:val="70"/>
        <w:spacing w:line="600" w:lineRule="exact"/>
        <w:ind w:left="178" w:leftChars="85"/>
        <w:jc w:val="center"/>
        <w:rPr>
          <w:rFonts w:hint="eastAsia" w:ascii="宋体" w:hAnsi="宋体" w:cs="Tahoma"/>
          <w:b/>
          <w:color w:val="auto"/>
          <w:sz w:val="28"/>
          <w:szCs w:val="28"/>
        </w:rPr>
      </w:pPr>
      <w:r>
        <w:rPr>
          <w:rFonts w:hint="eastAsia" w:ascii="宋体" w:hAnsi="宋体" w:cs="Tahoma"/>
          <w:b/>
          <w:color w:val="auto"/>
          <w:sz w:val="28"/>
          <w:szCs w:val="28"/>
        </w:rPr>
        <w:t>咨询人的权利</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第十一条  委托人在委托的建设工程造价咨询业务范围内，授予咨询人以下权利：</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1、咨询人在咨询过程中，如委托人提供的资料不明确时可向委托人提出书面报告。</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2、咨询人在咨询过程中，有权对第三人提出与本咨询业务有关的问题进行核对或查问。</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3、咨询人在咨询过程中，有到工程现场勘察的权利。</w:t>
      </w:r>
    </w:p>
    <w:p>
      <w:pPr>
        <w:pStyle w:val="70"/>
        <w:spacing w:line="600" w:lineRule="exact"/>
        <w:ind w:left="178" w:leftChars="85"/>
        <w:jc w:val="center"/>
        <w:rPr>
          <w:rFonts w:hint="eastAsia" w:ascii="宋体" w:hAnsi="宋体" w:cs="Tahoma"/>
          <w:b/>
          <w:color w:val="auto"/>
          <w:sz w:val="28"/>
          <w:szCs w:val="28"/>
        </w:rPr>
      </w:pPr>
      <w:r>
        <w:rPr>
          <w:rFonts w:hint="eastAsia" w:ascii="宋体" w:hAnsi="宋体" w:cs="Tahoma"/>
          <w:b/>
          <w:color w:val="auto"/>
          <w:sz w:val="28"/>
          <w:szCs w:val="28"/>
        </w:rPr>
        <w:t>委托人的权利</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第十二条  委托人有下列权利：</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1、委托人有权向咨询人询问工作进展情况及相关的内容。</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2、委托人有权阐述对具体问题的意见和建议。</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3、当委托人认定咨询专业人员不按咨询合同履行其职责，或与第三人串通给委托人造成经济损失的，委托人有权要求更换咨询专业人员，直至终止合同并要求咨询人承担相应的赔偿责任。</w:t>
      </w:r>
    </w:p>
    <w:p>
      <w:pPr>
        <w:pStyle w:val="70"/>
        <w:spacing w:line="600" w:lineRule="exact"/>
        <w:ind w:left="178" w:leftChars="85"/>
        <w:jc w:val="center"/>
        <w:rPr>
          <w:rFonts w:hint="eastAsia" w:ascii="宋体" w:hAnsi="宋体" w:cs="Tahoma"/>
          <w:b/>
          <w:color w:val="auto"/>
          <w:sz w:val="28"/>
          <w:szCs w:val="28"/>
        </w:rPr>
      </w:pPr>
      <w:r>
        <w:rPr>
          <w:rFonts w:hint="eastAsia" w:ascii="宋体" w:hAnsi="宋体" w:cs="Tahoma"/>
          <w:b/>
          <w:color w:val="auto"/>
          <w:sz w:val="28"/>
          <w:szCs w:val="28"/>
        </w:rPr>
        <w:t>咨询人的责任</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第十三条  咨询人的责任期即建设工程造价咨询合同有效期。如因非咨询人的责任造成进度的推迟或延误而超过约定的日期，双方应进一步约定相应延长合同有效期。</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第十四条  咨询人责任期内，应当履行建设工程造价咨询合同中约定的义务，因咨询人的单方过失造成的经济损失，应当向委托人进行赔偿。累计赔偿总额不应超过建设工程造价咨询酬金总额（除去税金）。</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第十五条  咨询人对委托人或第三人所提出的问题不能及时核对或答复，导致合同不能全部或部分履行，咨询人应承担责任。</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第十六条  咨询人向委托人提出赔偿要求不能成立时，则应补偿由于该赔偿或其他要求所导致委托人的各种费用的支出。</w:t>
      </w:r>
    </w:p>
    <w:p>
      <w:pPr>
        <w:pStyle w:val="70"/>
        <w:spacing w:line="600" w:lineRule="exact"/>
        <w:ind w:left="178" w:leftChars="85"/>
        <w:jc w:val="center"/>
        <w:rPr>
          <w:rFonts w:hint="eastAsia" w:ascii="宋体" w:hAnsi="宋体" w:cs="Tahoma"/>
          <w:b/>
          <w:color w:val="auto"/>
          <w:sz w:val="28"/>
          <w:szCs w:val="28"/>
        </w:rPr>
      </w:pPr>
      <w:r>
        <w:rPr>
          <w:rFonts w:hint="eastAsia" w:ascii="宋体" w:hAnsi="宋体" w:cs="Tahoma"/>
          <w:b/>
          <w:color w:val="auto"/>
          <w:sz w:val="28"/>
          <w:szCs w:val="28"/>
        </w:rPr>
        <w:t>委托人的责任</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第十七条  委托人应当履行建设工程造价咨询合同约定的义务，如有违反则应当承担违约责任，赔偿给咨询人造成的损失。</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第十八条  委托人如果向咨询人提出赔偿或其他要求不能成立时，则应补偿由于该赔偿或其他要求所导致咨询人的各种费用的支出。</w:t>
      </w:r>
    </w:p>
    <w:p>
      <w:pPr>
        <w:pStyle w:val="70"/>
        <w:spacing w:line="600" w:lineRule="exact"/>
        <w:ind w:left="178" w:leftChars="85"/>
        <w:jc w:val="center"/>
        <w:rPr>
          <w:rFonts w:hint="eastAsia" w:ascii="宋体" w:hAnsi="宋体" w:cs="Tahoma"/>
          <w:b/>
          <w:color w:val="auto"/>
          <w:sz w:val="28"/>
          <w:szCs w:val="28"/>
        </w:rPr>
      </w:pPr>
      <w:r>
        <w:rPr>
          <w:rFonts w:hint="eastAsia" w:ascii="宋体" w:hAnsi="宋体" w:cs="Tahoma"/>
          <w:b/>
          <w:color w:val="auto"/>
          <w:sz w:val="28"/>
          <w:szCs w:val="28"/>
        </w:rPr>
        <w:t>合同生效，变更与终止</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第十九条  本合同自双方签字盖章之日起生效。</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第二十条  由于委托人或第三人的原因使咨询人工作受到阻碍或延误以致增加了工作量或持续时间，则咨询人应当将此情况与可能产生的影响及时书面通知委托人。由此增加的工作量视为额外服务，完成建设工程造价咨询工作的时间应当相应延长，并得到额外的酬金。</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第二十一条  当事人一方要求变更或解除合同时，则应当在14日前通知对方；因变更或解除合同使一方遭受损失的，应由责任方负责赔偿。</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第二十二条  咨询人由于非自身原因暂停或终止执行建设工程造价咨询业务，由此而增加的恢复执行建设工程造价咨询业务的工作，应视为额外服务，有权得到额外的时间和酬金。</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第二十三条  变更或解除合同的通知或协议应当采取书面形式，新的协议未达成之前，原合同仍然有效。</w:t>
      </w:r>
    </w:p>
    <w:p>
      <w:pPr>
        <w:pStyle w:val="70"/>
        <w:spacing w:line="600" w:lineRule="exact"/>
        <w:ind w:left="178" w:leftChars="85"/>
        <w:jc w:val="center"/>
        <w:rPr>
          <w:rFonts w:hint="eastAsia" w:ascii="宋体" w:hAnsi="宋体" w:cs="Tahoma"/>
          <w:b/>
          <w:color w:val="auto"/>
          <w:sz w:val="28"/>
          <w:szCs w:val="28"/>
        </w:rPr>
      </w:pPr>
      <w:r>
        <w:rPr>
          <w:rFonts w:hint="eastAsia" w:ascii="宋体" w:hAnsi="宋体" w:cs="Tahoma"/>
          <w:b/>
          <w:color w:val="auto"/>
          <w:sz w:val="28"/>
          <w:szCs w:val="28"/>
        </w:rPr>
        <w:t>咨询业务的酬金</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第二十四条  正常的建设工程造价咨询业务，附加工作和额外工作的酬金，按照建设工程造价咨询合同专用条件约定的方法计取，并按约定的时间和数额支付。</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第二十五条  如果委托人在规定的支付期限内未支付建设工程造价咨询酬金，自规定支付之日起，应当向咨询人补偿应支付的酬金利息。利息额按规定支付期限最后一日银行活期贷款乘以拖欠酬金时间计算。</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第二十六条  如果委托人对咨询人提交的支付通知书中酬金或部分酬金项目提出异议，应当在收到支付通知书两日内向咨询人发出异议的通知，但委托人不得拖延其无异议酬金项目的支付。</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第二十七条  支付建设工程造咨询酬金所采取的货币币种、汇率由合同专用条件约定。</w:t>
      </w:r>
    </w:p>
    <w:p>
      <w:pPr>
        <w:pStyle w:val="70"/>
        <w:spacing w:line="600" w:lineRule="exact"/>
        <w:ind w:left="178" w:leftChars="85"/>
        <w:jc w:val="center"/>
        <w:rPr>
          <w:rFonts w:hint="eastAsia" w:ascii="宋体" w:hAnsi="宋体" w:cs="Tahoma"/>
          <w:b/>
          <w:color w:val="auto"/>
          <w:sz w:val="28"/>
          <w:szCs w:val="28"/>
        </w:rPr>
      </w:pPr>
      <w:r>
        <w:rPr>
          <w:rFonts w:hint="eastAsia" w:ascii="宋体" w:hAnsi="宋体" w:cs="Tahoma"/>
          <w:b/>
          <w:color w:val="auto"/>
          <w:sz w:val="28"/>
          <w:szCs w:val="28"/>
        </w:rPr>
        <w:t>其他</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第二十八条  因建设工程造价咨询业务的需要，咨询人在合同约定外的外出考察，经委托人同意，其所需费用由委托人负责。</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第二十九条  咨询人如需外聘专家协助，在委托的建设工程造价咨询业务范围内其费用由咨询人承担；在委托的建设工程造价咨询业务范围以外经委托人认可其费用由委托人承担。</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第三十条  未经对方的书面同意，各方均不得转让合同约定的权利和义务。</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第三十一条  除委托人书面同意外，咨询人及咨询专业人员不应接受建设工程造价咨询合同约定以外的与工程造价咨询项目有关的任何报酬。</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咨询人不得参与可能与合同规定的与委托人利益相冲突的任何活动。</w:t>
      </w:r>
    </w:p>
    <w:p>
      <w:pPr>
        <w:pStyle w:val="70"/>
        <w:spacing w:line="600" w:lineRule="exact"/>
        <w:ind w:left="178" w:leftChars="85"/>
        <w:jc w:val="center"/>
        <w:rPr>
          <w:rFonts w:hint="eastAsia" w:ascii="宋体" w:hAnsi="宋体" w:cs="Tahoma"/>
          <w:b/>
          <w:color w:val="auto"/>
          <w:sz w:val="28"/>
          <w:szCs w:val="28"/>
        </w:rPr>
      </w:pPr>
      <w:r>
        <w:rPr>
          <w:rFonts w:hint="eastAsia" w:ascii="宋体" w:hAnsi="宋体" w:cs="Tahoma"/>
          <w:b/>
          <w:color w:val="auto"/>
          <w:sz w:val="28"/>
          <w:szCs w:val="28"/>
        </w:rPr>
        <w:t>合同争议的解决</w:t>
      </w:r>
    </w:p>
    <w:p>
      <w:pPr>
        <w:pStyle w:val="70"/>
        <w:spacing w:line="600" w:lineRule="exact"/>
        <w:ind w:left="178" w:leftChars="85" w:firstLine="480" w:firstLineChars="200"/>
        <w:rPr>
          <w:rFonts w:hint="eastAsia" w:ascii="仿宋_GB2312" w:hAnsi="Tahoma" w:eastAsia="仿宋_GB2312" w:cs="Tahoma"/>
          <w:color w:val="auto"/>
          <w:sz w:val="28"/>
          <w:szCs w:val="28"/>
        </w:rPr>
      </w:pPr>
      <w:r>
        <w:rPr>
          <w:rFonts w:hint="eastAsia" w:ascii="宋体" w:hAnsi="宋体" w:cs="Tahoma"/>
          <w:color w:val="auto"/>
          <w:sz w:val="24"/>
        </w:rPr>
        <w:t>第三十二条  因违约或终止合同而引起的损失和损害的赔偿，委托人与咨询人之间应当协商解决；如未能达成一致，可提交有关主管部门调解；协商或调解不成的，根据双方约定提交仲裁机关仲裁，或向人民法院提起诉讼。</w:t>
      </w:r>
    </w:p>
    <w:p>
      <w:pPr>
        <w:pStyle w:val="70"/>
        <w:spacing w:line="600" w:lineRule="exact"/>
        <w:ind w:left="178" w:leftChars="85"/>
        <w:jc w:val="center"/>
        <w:rPr>
          <w:rFonts w:hint="eastAsia" w:ascii="宋体" w:hAnsi="宋体" w:cs="Tahoma"/>
          <w:b/>
          <w:color w:val="auto"/>
          <w:sz w:val="28"/>
          <w:szCs w:val="28"/>
        </w:rPr>
      </w:pPr>
      <w:r>
        <w:rPr>
          <w:rFonts w:hint="eastAsia" w:ascii="仿宋_GB2312" w:hAnsi="Tahoma" w:eastAsia="仿宋_GB2312" w:cs="Tahoma"/>
          <w:color w:val="auto"/>
          <w:sz w:val="28"/>
          <w:szCs w:val="28"/>
        </w:rPr>
        <w:br w:type="page"/>
      </w:r>
      <w:r>
        <w:rPr>
          <w:rFonts w:hint="eastAsia" w:ascii="宋体" w:hAnsi="宋体" w:cs="Tahoma"/>
          <w:b/>
          <w:color w:val="auto"/>
          <w:sz w:val="28"/>
          <w:szCs w:val="28"/>
        </w:rPr>
        <w:t>第三部分  建设工程造价咨询合同专用条件</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第二条  本合同适用的法律、法规及工程造价计价办法和规定：国家、省、云浮市等地方有关工程造价的法规、政策、文件、造价信息等，及基建财务管理的有关规定。按实施地属地管理原则，上述文件规定如有冲突，以</w:t>
      </w:r>
      <w:r>
        <w:rPr>
          <w:rFonts w:hint="eastAsia" w:ascii="宋体" w:hAnsi="宋体"/>
          <w:b/>
          <w:bCs/>
          <w:color w:val="auto"/>
          <w:sz w:val="30"/>
          <w:szCs w:val="32"/>
          <w:u w:val="single"/>
        </w:rPr>
        <w:t>　　　</w:t>
      </w:r>
      <w:r>
        <w:rPr>
          <w:rFonts w:hint="eastAsia" w:ascii="宋体" w:hAnsi="宋体" w:cs="Tahoma"/>
          <w:color w:val="auto"/>
          <w:sz w:val="24"/>
        </w:rPr>
        <w:t>地区文件为准。</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第四条  建设工程造价咨询业务范围：</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“建设工程造价咨询业务”是指以下服务类别的咨询业务：</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（A类）建设项目投资估算的审核；</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（B类）建设工程概算的审核；</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（C类）建设工程最高限价的审核；</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（D类）工程变更的审核；</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（E类）建设工程结算审核。</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在服务期间，委托人将根据</w:t>
      </w:r>
      <w:r>
        <w:rPr>
          <w:rFonts w:hint="eastAsia" w:ascii="宋体" w:hAnsi="宋体"/>
          <w:b/>
          <w:bCs/>
          <w:color w:val="auto"/>
          <w:sz w:val="30"/>
          <w:szCs w:val="32"/>
          <w:u w:val="single"/>
        </w:rPr>
        <w:t>　　　</w:t>
      </w:r>
      <w:r>
        <w:rPr>
          <w:rFonts w:hint="eastAsia" w:ascii="宋体" w:hAnsi="宋体" w:cs="Tahoma"/>
          <w:color w:val="auto"/>
          <w:sz w:val="24"/>
        </w:rPr>
        <w:t>财政局工程造价咨询项目分配办法及考核办法（详见附件一）,分配具体咨询业务，并签订</w:t>
      </w:r>
      <w:r>
        <w:rPr>
          <w:rFonts w:hint="eastAsia" w:ascii="宋体" w:hAnsi="宋体"/>
          <w:b/>
          <w:bCs/>
          <w:color w:val="auto"/>
          <w:sz w:val="30"/>
          <w:szCs w:val="32"/>
          <w:u w:val="single"/>
        </w:rPr>
        <w:t>　　　</w:t>
      </w:r>
      <w:r>
        <w:rPr>
          <w:rFonts w:hint="eastAsia" w:ascii="宋体" w:hAnsi="宋体" w:cs="Tahoma"/>
          <w:color w:val="auto"/>
          <w:sz w:val="24"/>
        </w:rPr>
        <w:t>财政局工程造价咨询服务专项协议。</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委托人不保证咨询人具体承担的项目数量。</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第五条  咨询人应根据第二条有关的法律、法规及地方管理文件规定，本着为政府节约投资的原则，科学、客观、公正地开展审核工作，按委托人对工程咨询项目审核工作的要求按时按质按量提供审核成果，并对审核结论的真实性、准确性、完整性和合法性负责。</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第八条  双方约定的委托人应提供的建设工程造价咨询材料及提供时间：具体在</w:t>
      </w:r>
    </w:p>
    <w:p>
      <w:pPr>
        <w:pStyle w:val="70"/>
        <w:spacing w:line="600" w:lineRule="exact"/>
        <w:rPr>
          <w:rFonts w:hint="eastAsia" w:ascii="宋体" w:hAnsi="宋体" w:cs="Tahoma"/>
          <w:color w:val="auto"/>
          <w:sz w:val="24"/>
        </w:rPr>
      </w:pPr>
      <w:r>
        <w:rPr>
          <w:rFonts w:hint="eastAsia" w:ascii="宋体" w:hAnsi="宋体"/>
          <w:b/>
          <w:bCs/>
          <w:color w:val="auto"/>
          <w:sz w:val="30"/>
          <w:szCs w:val="32"/>
          <w:u w:val="single"/>
        </w:rPr>
        <w:t>　　　</w:t>
      </w:r>
      <w:r>
        <w:rPr>
          <w:rFonts w:hint="eastAsia" w:ascii="宋体" w:hAnsi="宋体" w:cs="Tahoma"/>
          <w:color w:val="auto"/>
          <w:sz w:val="24"/>
        </w:rPr>
        <w:t>财政局工程造价咨询服务专项协议中约定。</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第九条  委托人对咨询人书面提交并要求做出答复的事宜做出书面答复的约定时间具体在</w:t>
      </w:r>
      <w:r>
        <w:rPr>
          <w:rFonts w:hint="eastAsia" w:ascii="宋体" w:hAnsi="宋体"/>
          <w:b/>
          <w:bCs/>
          <w:color w:val="auto"/>
          <w:sz w:val="30"/>
          <w:szCs w:val="32"/>
          <w:u w:val="single"/>
        </w:rPr>
        <w:t>　　　</w:t>
      </w:r>
      <w:r>
        <w:rPr>
          <w:rFonts w:hint="eastAsia" w:ascii="宋体" w:hAnsi="宋体" w:cs="Tahoma"/>
          <w:color w:val="auto"/>
          <w:sz w:val="24"/>
        </w:rPr>
        <w:t>财政局工程造价咨询服务专项协议中约定。</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第十四条  咨询人在其责任期内如果失职，同意按以下办法承担因单方责任而造成的经济损失。</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赔偿金＝直接经济损失×酬金比率（扣除税金）×2</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咨询人同意参考《</w:t>
      </w:r>
      <w:r>
        <w:rPr>
          <w:rFonts w:hint="eastAsia" w:ascii="宋体" w:hAnsi="宋体"/>
          <w:b/>
          <w:bCs/>
          <w:color w:val="auto"/>
          <w:sz w:val="30"/>
          <w:szCs w:val="32"/>
          <w:u w:val="single"/>
        </w:rPr>
        <w:t>　　　</w:t>
      </w:r>
      <w:r>
        <w:rPr>
          <w:rFonts w:hint="eastAsia" w:ascii="宋体" w:hAnsi="宋体" w:cs="Tahoma"/>
          <w:color w:val="auto"/>
          <w:sz w:val="24"/>
        </w:rPr>
        <w:t>财政局工程造价咨询项目分配办法》、《</w:t>
      </w:r>
      <w:r>
        <w:rPr>
          <w:rFonts w:hint="eastAsia" w:ascii="宋体" w:hAnsi="宋体"/>
          <w:b/>
          <w:bCs/>
          <w:color w:val="auto"/>
          <w:sz w:val="30"/>
          <w:szCs w:val="32"/>
          <w:u w:val="single"/>
        </w:rPr>
        <w:t>　　　</w:t>
      </w:r>
      <w:r>
        <w:rPr>
          <w:rFonts w:hint="eastAsia" w:ascii="宋体" w:hAnsi="宋体" w:cs="Tahoma"/>
          <w:color w:val="auto"/>
          <w:sz w:val="24"/>
        </w:rPr>
        <w:t>财政局工程造价咨询定点服务考核办法及奖罚办法》（详见附件二）进行管理、考核及接受奖罚。</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第十九条 本合同自双方签字盖章，送县财政局备案后生效。</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 xml:space="preserve">第二十一条  </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1、当事人一方要求变更或解除合同时，则应当在14日前通知对方；因变更或解除合同使一方遭受损失的，应由责任方负责赔偿（如出现本合同专用条件第十二条、第十四条约定的情况，委托人将不作任何赔偿）。</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2、在合同服务期间，合同双方均不得随意变更或解除合同。合同如有未尽事宜，须经双方共同协商，共同签署补充或修正文件。</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3、本合同订立后，双方经协商一致需变更合同实质性条款、共同签署补充或修正文件的，报政府采购部门备案。双方均应自觉配合政府采购管理部门对采购履行的监督检查，如实反映情况，提供有关资料。</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第二十七条  双方同意用人民币支付酬金。</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第二十八条  变更为：因建设工程造价咨询业务的需要，咨询人在合同约定外的外出考察，经委托人同意并签订补充协议后，其所需费用由委托人负责。</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第二十九条  变更为：咨询人如需外聘专家协助，在委托的建设工程造价咨询业务范围内其费用由咨询人承担；在委托的建设工程造价咨询业务范围以外经委托人认可并签订补充协议后，其费用由委托人承担。</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第三十二条  建设工程造价咨询合同在履行过程中发生争议，委托人与咨询人应及时协商解决；如未能达成一致，可提交</w:t>
      </w:r>
      <w:r>
        <w:rPr>
          <w:rFonts w:hint="eastAsia" w:ascii="宋体" w:hAnsi="宋体"/>
          <w:b/>
          <w:bCs/>
          <w:color w:val="auto"/>
          <w:sz w:val="30"/>
          <w:szCs w:val="32"/>
          <w:u w:val="single"/>
        </w:rPr>
        <w:t>　　　</w:t>
      </w:r>
      <w:r>
        <w:rPr>
          <w:rFonts w:hint="eastAsia" w:ascii="宋体" w:hAnsi="宋体" w:cs="Tahoma"/>
          <w:color w:val="auto"/>
          <w:sz w:val="24"/>
        </w:rPr>
        <w:t>县建设工程造价管理站调解；协商或调解不成的，按下列第（二）种方式解决：</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（一）提交仲裁委员会仲裁；</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（二）依法向人民法院起诉。</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附加协议条款：</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 xml:space="preserve">第三十三条  </w:t>
      </w:r>
      <w:r>
        <w:rPr>
          <w:rFonts w:hint="eastAsia" w:ascii="宋体" w:hAnsi="宋体"/>
          <w:b/>
          <w:bCs/>
          <w:color w:val="auto"/>
          <w:sz w:val="30"/>
          <w:szCs w:val="32"/>
          <w:u w:val="single"/>
        </w:rPr>
        <w:t>　　　</w:t>
      </w:r>
      <w:r>
        <w:rPr>
          <w:rFonts w:hint="eastAsia" w:ascii="宋体" w:hAnsi="宋体" w:cs="Tahoma"/>
          <w:color w:val="auto"/>
          <w:sz w:val="24"/>
        </w:rPr>
        <w:t>财政局工程造价咨询服务具体程序如下：</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1、委托人参考《</w:t>
      </w:r>
      <w:r>
        <w:rPr>
          <w:rFonts w:hint="eastAsia" w:ascii="宋体" w:hAnsi="宋体"/>
          <w:b/>
          <w:bCs/>
          <w:color w:val="auto"/>
          <w:sz w:val="30"/>
          <w:szCs w:val="32"/>
          <w:u w:val="single"/>
        </w:rPr>
        <w:t>　　　</w:t>
      </w:r>
      <w:r>
        <w:rPr>
          <w:rFonts w:hint="eastAsia" w:ascii="宋体" w:hAnsi="宋体" w:cs="Tahoma"/>
          <w:color w:val="auto"/>
          <w:sz w:val="24"/>
        </w:rPr>
        <w:t>财政局工程造价咨询项目分配办法》（详见招标文件2.2.3）从签约单位中选出专项工程造价咨询服务机构。</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2、委托人、咨询人双方签订</w:t>
      </w:r>
      <w:r>
        <w:rPr>
          <w:rFonts w:hint="eastAsia" w:ascii="宋体" w:hAnsi="宋体"/>
          <w:b/>
          <w:bCs/>
          <w:color w:val="auto"/>
          <w:sz w:val="30"/>
          <w:szCs w:val="32"/>
          <w:u w:val="single"/>
        </w:rPr>
        <w:t>　　　</w:t>
      </w:r>
      <w:r>
        <w:rPr>
          <w:rFonts w:hint="eastAsia" w:ascii="宋体" w:hAnsi="宋体" w:cs="Tahoma"/>
          <w:color w:val="auto"/>
          <w:sz w:val="24"/>
        </w:rPr>
        <w:t>县财政局工程造价咨询服务专项协议。专项协议一式三份，双方确认无误、签名盖章后委托人二份、咨询人一份。</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3、委托咨询服务费用按服务费用最高标准乘以所报优惠率计算委托费后，根据本合同专用条件第十四条进行调整确定。</w:t>
      </w:r>
    </w:p>
    <w:p>
      <w:pPr>
        <w:pStyle w:val="70"/>
        <w:spacing w:line="600" w:lineRule="exact"/>
        <w:ind w:left="178" w:leftChars="85" w:firstLine="480" w:firstLineChars="200"/>
        <w:rPr>
          <w:rFonts w:hint="eastAsia" w:ascii="宋体" w:hAnsi="宋体" w:cs="Tahoma"/>
          <w:color w:val="auto"/>
          <w:sz w:val="24"/>
        </w:rPr>
      </w:pPr>
      <w:r>
        <w:rPr>
          <w:rFonts w:hint="eastAsia"/>
          <w:color w:val="auto"/>
          <w:sz w:val="24"/>
        </w:rPr>
        <w:t>咨询服务费按服务费用最高标准乘以所报优惠率</w:t>
      </w:r>
      <w:r>
        <w:rPr>
          <w:rFonts w:hint="eastAsia"/>
          <w:color w:val="auto"/>
          <w:sz w:val="24"/>
          <w:u w:val="single"/>
        </w:rPr>
        <w:t xml:space="preserve">   </w:t>
      </w:r>
      <w:r>
        <w:rPr>
          <w:rFonts w:hint="eastAsia"/>
          <w:color w:val="auto"/>
          <w:sz w:val="24"/>
        </w:rPr>
        <w:t>%计算。</w:t>
      </w:r>
      <w:r>
        <w:rPr>
          <w:rFonts w:hint="eastAsia" w:ascii="宋体" w:hAnsi="宋体" w:cs="Tahoma"/>
          <w:color w:val="auto"/>
          <w:sz w:val="24"/>
        </w:rPr>
        <w:t>计费标准详见详见附件二。</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4、专项协议的履行。专项协议签订后，咨询人依照专项协议约定的事项（工作要求）提供相关服务，委托人也依照专项协议约定履行相关义务。</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5、支付结算。</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委托人不向咨询人提供启动资金。审核咨询费用每季度拨付一次，咨询人必须于每季度末的最后一天（如遇节假日则顺延），将已出具正式报告及委托人已完成该项目单项评审工作考核（详见附件一）、但未收审核咨询费的工程项目，按委托人要求的格式填列表格送</w:t>
      </w:r>
      <w:r>
        <w:rPr>
          <w:rFonts w:hint="eastAsia" w:ascii="宋体" w:hAnsi="宋体"/>
          <w:b/>
          <w:bCs/>
          <w:color w:val="auto"/>
          <w:sz w:val="30"/>
          <w:szCs w:val="32"/>
          <w:u w:val="single"/>
        </w:rPr>
        <w:t>　　　</w:t>
      </w:r>
      <w:r>
        <w:rPr>
          <w:rFonts w:hint="eastAsia" w:ascii="宋体" w:hAnsi="宋体" w:cs="Tahoma"/>
          <w:color w:val="auto"/>
          <w:sz w:val="24"/>
        </w:rPr>
        <w:t>财政局投资审核中心核对。</w:t>
      </w:r>
      <w:r>
        <w:rPr>
          <w:rFonts w:hint="eastAsia" w:ascii="宋体" w:hAnsi="宋体"/>
          <w:b/>
          <w:bCs/>
          <w:color w:val="auto"/>
          <w:sz w:val="30"/>
          <w:szCs w:val="32"/>
          <w:u w:val="single"/>
        </w:rPr>
        <w:t>　　　</w:t>
      </w:r>
      <w:r>
        <w:rPr>
          <w:rFonts w:hint="eastAsia" w:ascii="宋体" w:hAnsi="宋体" w:cs="Tahoma"/>
          <w:color w:val="auto"/>
          <w:sz w:val="24"/>
        </w:rPr>
        <w:t>财政局投资审核中心核对并确定支付金额后，咨询人向委托人提交《财政拨款申请书》及咨询人开具的正式发票，委托人按</w:t>
      </w:r>
      <w:r>
        <w:rPr>
          <w:rFonts w:hint="eastAsia" w:ascii="宋体" w:hAnsi="宋体"/>
          <w:b/>
          <w:bCs/>
          <w:color w:val="auto"/>
          <w:sz w:val="30"/>
          <w:szCs w:val="32"/>
          <w:u w:val="single"/>
        </w:rPr>
        <w:t>　　　</w:t>
      </w:r>
      <w:r>
        <w:rPr>
          <w:rFonts w:hint="eastAsia" w:ascii="宋体" w:hAnsi="宋体" w:cs="Tahoma"/>
          <w:color w:val="auto"/>
          <w:sz w:val="24"/>
        </w:rPr>
        <w:t>财政资金拨付审批程序报批办理拨付手续，单项咨询酬金实行一次性全额支付。</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对已按委托人要求完成，但正在被政府相关审核部门审核（审计），委托人尚未完成该项目单项评审工作考核的工程项目，待政府相关部门审核完成、委托人完成单项评审工作考核后，咨询人根据其结果在季度末申报拨付。</w:t>
      </w:r>
    </w:p>
    <w:p>
      <w:pPr>
        <w:pStyle w:val="70"/>
        <w:spacing w:line="600" w:lineRule="exact"/>
        <w:ind w:left="178" w:leftChars="85" w:firstLine="480" w:firstLineChars="200"/>
        <w:rPr>
          <w:rFonts w:hint="eastAsia" w:ascii="宋体" w:hAnsi="宋体" w:cs="Tahoma"/>
          <w:color w:val="auto"/>
          <w:sz w:val="24"/>
        </w:rPr>
      </w:pPr>
      <w:r>
        <w:rPr>
          <w:rFonts w:hint="eastAsia" w:ascii="宋体" w:hAnsi="宋体" w:cs="Tahoma"/>
          <w:color w:val="auto"/>
          <w:sz w:val="24"/>
        </w:rPr>
        <w:t>对已按委托人要求完成，但咨询人未能按时申报的项目的审核咨询费，可延迟到下季度申报拨付。</w:t>
      </w:r>
    </w:p>
    <w:p>
      <w:pPr>
        <w:adjustRightInd w:val="0"/>
        <w:snapToGrid w:val="0"/>
        <w:spacing w:line="480" w:lineRule="exact"/>
        <w:jc w:val="left"/>
        <w:rPr>
          <w:rFonts w:ascii="宋体" w:hAnsi="宋体"/>
          <w:b/>
          <w:color w:val="auto"/>
          <w:sz w:val="48"/>
        </w:rPr>
      </w:pPr>
      <w:r>
        <w:rPr>
          <w:rFonts w:hint="eastAsia" w:ascii="宋体" w:hAnsi="宋体" w:cs="Tahoma"/>
          <w:color w:val="auto"/>
          <w:sz w:val="24"/>
        </w:rPr>
        <w:t>第三十四条  如一方地址、电话、传真号码有变更，应在变更当日内书面通知对方，否则，应承担相应责任。</w:t>
      </w:r>
    </w:p>
    <w:p>
      <w:pPr>
        <w:adjustRightInd w:val="0"/>
        <w:snapToGrid w:val="0"/>
        <w:spacing w:line="480" w:lineRule="exact"/>
        <w:jc w:val="center"/>
        <w:rPr>
          <w:rFonts w:ascii="宋体" w:hAnsi="宋体"/>
          <w:b/>
          <w:color w:val="auto"/>
          <w:sz w:val="48"/>
        </w:rPr>
      </w:pPr>
    </w:p>
    <w:p>
      <w:pPr>
        <w:spacing w:line="480" w:lineRule="exact"/>
        <w:rPr>
          <w:rFonts w:ascii="宋体" w:hAnsi="宋体"/>
          <w:color w:val="auto"/>
          <w:szCs w:val="21"/>
        </w:rPr>
      </w:pPr>
    </w:p>
    <w:p>
      <w:pPr>
        <w:spacing w:line="360" w:lineRule="auto"/>
        <w:rPr>
          <w:rFonts w:ascii="宋体" w:hAnsi="宋体"/>
          <w:color w:val="auto"/>
          <w:sz w:val="24"/>
          <w:szCs w:val="28"/>
        </w:rPr>
      </w:pPr>
    </w:p>
    <w:p>
      <w:pPr>
        <w:spacing w:line="360" w:lineRule="auto"/>
        <w:ind w:left="840" w:hanging="840"/>
        <w:jc w:val="center"/>
        <w:rPr>
          <w:rFonts w:ascii="宋体"/>
          <w:b/>
          <w:color w:val="auto"/>
          <w:spacing w:val="40"/>
          <w:sz w:val="36"/>
        </w:rPr>
      </w:pPr>
    </w:p>
    <w:p>
      <w:pPr>
        <w:adjustRightInd w:val="0"/>
        <w:snapToGrid w:val="0"/>
        <w:spacing w:line="360" w:lineRule="auto"/>
        <w:rPr>
          <w:rFonts w:ascii="宋体" w:hAnsi="宋体"/>
          <w:bCs/>
          <w:color w:val="auto"/>
          <w:szCs w:val="21"/>
        </w:rPr>
      </w:pPr>
    </w:p>
    <w:p>
      <w:pPr>
        <w:adjustRightInd w:val="0"/>
        <w:snapToGrid w:val="0"/>
        <w:spacing w:line="360" w:lineRule="auto"/>
        <w:rPr>
          <w:rFonts w:ascii="宋体" w:hAnsi="宋体"/>
          <w:b/>
          <w:color w:val="auto"/>
          <w:sz w:val="48"/>
        </w:rPr>
        <w:sectPr>
          <w:type w:val="continuous"/>
          <w:pgSz w:w="11907" w:h="16840"/>
          <w:pgMar w:top="1440" w:right="1418" w:bottom="1440" w:left="1418" w:header="851" w:footer="851" w:gutter="0"/>
          <w:pgNumType w:fmt="decimal"/>
          <w:cols w:space="720" w:num="1"/>
          <w:docGrid w:linePitch="285" w:charSpace="0"/>
        </w:sect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p>
    <w:p>
      <w:pPr>
        <w:spacing w:before="120" w:line="480" w:lineRule="exact"/>
        <w:jc w:val="center"/>
        <w:rPr>
          <w:rFonts w:ascii="黑体" w:eastAsia="黑体"/>
          <w:b/>
          <w:color w:val="auto"/>
          <w:sz w:val="44"/>
        </w:rPr>
      </w:pPr>
      <w:r>
        <w:rPr>
          <w:rFonts w:hint="eastAsia" w:ascii="黑体" w:eastAsia="黑体"/>
          <w:b/>
          <w:color w:val="auto"/>
          <w:sz w:val="44"/>
        </w:rPr>
        <w:t>第五部分</w:t>
      </w:r>
    </w:p>
    <w:p>
      <w:pPr>
        <w:spacing w:line="480" w:lineRule="exact"/>
        <w:jc w:val="center"/>
        <w:rPr>
          <w:rFonts w:ascii="黑体" w:eastAsia="黑体"/>
          <w:b/>
          <w:color w:val="auto"/>
          <w:sz w:val="44"/>
        </w:rPr>
      </w:pPr>
    </w:p>
    <w:p>
      <w:pPr>
        <w:spacing w:line="480" w:lineRule="exact"/>
        <w:jc w:val="center"/>
        <w:outlineLvl w:val="0"/>
        <w:rPr>
          <w:rFonts w:ascii="黑体" w:eastAsia="黑体"/>
          <w:b/>
          <w:color w:val="auto"/>
          <w:sz w:val="44"/>
        </w:rPr>
      </w:pPr>
      <w:r>
        <w:rPr>
          <w:rFonts w:hint="eastAsia" w:ascii="黑体" w:eastAsia="黑体"/>
          <w:b/>
          <w:color w:val="auto"/>
          <w:sz w:val="44"/>
        </w:rPr>
        <w:t>报 价 文 件 格 式</w:t>
      </w:r>
    </w:p>
    <w:p>
      <w:pPr>
        <w:spacing w:line="480" w:lineRule="exact"/>
        <w:jc w:val="center"/>
        <w:rPr>
          <w:rFonts w:ascii="宋体"/>
          <w:b/>
          <w:color w:val="auto"/>
          <w:szCs w:val="21"/>
        </w:rPr>
      </w:pPr>
      <w:r>
        <w:rPr>
          <w:rFonts w:hint="eastAsia" w:ascii="宋体" w:hAnsi="宋体"/>
          <w:b/>
          <w:color w:val="auto"/>
          <w:szCs w:val="21"/>
        </w:rPr>
        <w:t>（报价文件须编页码，且页码必须连续）</w:t>
      </w:r>
    </w:p>
    <w:p>
      <w:pPr>
        <w:spacing w:line="360" w:lineRule="auto"/>
        <w:jc w:val="center"/>
        <w:rPr>
          <w:rFonts w:ascii="宋体" w:hAnsi="宋体"/>
          <w:b/>
          <w:color w:val="auto"/>
          <w:sz w:val="32"/>
          <w:szCs w:val="32"/>
        </w:rPr>
      </w:pPr>
      <w:r>
        <w:rPr>
          <w:rFonts w:hint="eastAsia"/>
          <w:color w:val="auto"/>
        </w:rPr>
        <w:t xml:space="preserve">       </w:t>
      </w:r>
      <w:r>
        <w:rPr>
          <w:color w:val="auto"/>
        </w:rPr>
        <w:br w:type="page"/>
      </w:r>
      <w:bookmarkStart w:id="14" w:name="_Toc202251074"/>
      <w:bookmarkStart w:id="15" w:name="_Toc202251699"/>
      <w:bookmarkStart w:id="16" w:name="_Toc202252033"/>
      <w:bookmarkStart w:id="17" w:name="_Toc202819877"/>
      <w:bookmarkStart w:id="18" w:name="_Toc202816995"/>
      <w:bookmarkStart w:id="19" w:name="_Toc202820350"/>
      <w:bookmarkStart w:id="20" w:name="_Toc202254104"/>
      <w:r>
        <w:rPr>
          <w:rFonts w:hint="eastAsia" w:ascii="宋体" w:hAnsi="宋体"/>
          <w:b/>
          <w:color w:val="auto"/>
          <w:sz w:val="32"/>
          <w:szCs w:val="32"/>
        </w:rPr>
        <w:t>自查表</w:t>
      </w:r>
      <w:bookmarkEnd w:id="14"/>
      <w:bookmarkEnd w:id="15"/>
      <w:bookmarkEnd w:id="16"/>
      <w:bookmarkEnd w:id="17"/>
      <w:bookmarkEnd w:id="18"/>
      <w:bookmarkEnd w:id="19"/>
      <w:bookmarkEnd w:id="20"/>
    </w:p>
    <w:tbl>
      <w:tblPr>
        <w:tblStyle w:val="30"/>
        <w:tblW w:w="10000" w:type="dxa"/>
        <w:jc w:val="center"/>
        <w:tblInd w:w="0" w:type="dxa"/>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
      <w:tblGrid>
        <w:gridCol w:w="783"/>
        <w:gridCol w:w="4811"/>
        <w:gridCol w:w="1881"/>
        <w:gridCol w:w="2525"/>
      </w:tblGrid>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tcBorders>
              <w:top w:val="outset" w:color="111111" w:sz="6" w:space="0"/>
              <w:bottom w:val="single" w:color="auto" w:sz="4" w:space="0"/>
              <w:right w:val="outset" w:color="111111" w:sz="6" w:space="0"/>
            </w:tcBorders>
            <w:vAlign w:val="center"/>
          </w:tcPr>
          <w:p>
            <w:pPr>
              <w:rPr>
                <w:rFonts w:ascii="宋体" w:hAnsi="宋体" w:cs="宋体"/>
                <w:color w:val="auto"/>
              </w:rPr>
            </w:pPr>
            <w:r>
              <w:rPr>
                <w:rFonts w:hint="eastAsia" w:ascii="宋体" w:hAnsi="宋体" w:cs="宋体"/>
                <w:color w:val="auto"/>
              </w:rPr>
              <w:t>评审内容</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磋商文件要求</w:t>
            </w:r>
            <w:r>
              <w:rPr>
                <w:rFonts w:hint="eastAsia" w:ascii="宋体" w:hAnsi="宋体" w:cs="宋体"/>
                <w:color w:val="auto"/>
              </w:rPr>
              <w:br w:type="textWrapping"/>
            </w:r>
            <w:r>
              <w:rPr>
                <w:rFonts w:hint="eastAsia" w:ascii="宋体" w:hAnsi="宋体" w:cs="宋体"/>
                <w:color w:val="auto"/>
              </w:rPr>
              <w:t>（详见《资格性和符合性审查表》各项）</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自查结论</w:t>
            </w:r>
          </w:p>
        </w:tc>
        <w:tc>
          <w:tcPr>
            <w:tcW w:w="2525" w:type="dxa"/>
            <w:tcBorders>
              <w:top w:val="outset" w:color="111111" w:sz="6" w:space="0"/>
              <w:left w:val="outset" w:color="111111" w:sz="6" w:space="0"/>
              <w:bottom w:val="outset" w:color="111111" w:sz="6" w:space="0"/>
            </w:tcBorders>
            <w:vAlign w:val="center"/>
          </w:tcPr>
          <w:p>
            <w:pPr>
              <w:rPr>
                <w:rFonts w:ascii="宋体" w:hAnsi="宋体" w:cs="宋体"/>
                <w:color w:val="auto"/>
              </w:rPr>
            </w:pPr>
            <w:r>
              <w:rPr>
                <w:rFonts w:hint="eastAsia" w:ascii="宋体" w:hAnsi="宋体" w:cs="宋体"/>
                <w:color w:val="auto"/>
              </w:rPr>
              <w:t>证明资料</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269" w:hRule="atLeast"/>
          <w:jc w:val="center"/>
        </w:trPr>
        <w:tc>
          <w:tcPr>
            <w:tcW w:w="783" w:type="dxa"/>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auto"/>
              </w:rPr>
            </w:pPr>
            <w:r>
              <w:rPr>
                <w:rFonts w:hint="eastAsia" w:ascii="宋体" w:hAnsi="宋体" w:cs="宋体"/>
                <w:color w:val="auto"/>
              </w:rPr>
              <w:t>资格性审查</w:t>
            </w:r>
          </w:p>
        </w:tc>
        <w:tc>
          <w:tcPr>
            <w:tcW w:w="4811" w:type="dxa"/>
            <w:tcBorders>
              <w:top w:val="outset" w:color="111111" w:sz="6" w:space="0"/>
              <w:left w:val="single" w:color="auto" w:sz="4" w:space="0"/>
              <w:bottom w:val="outset" w:color="111111" w:sz="6" w:space="0"/>
              <w:right w:val="outset" w:color="111111" w:sz="6" w:space="0"/>
            </w:tcBorders>
            <w:vAlign w:val="center"/>
          </w:tcPr>
          <w:p>
            <w:pPr>
              <w:keepNext w:val="0"/>
              <w:keepLines w:val="0"/>
              <w:pageBreakBefore w:val="0"/>
              <w:widowControl/>
              <w:kinsoku/>
              <w:wordWrap/>
              <w:overflowPunct/>
              <w:topLinePunct w:val="0"/>
              <w:autoSpaceDE/>
              <w:autoSpaceDN/>
              <w:bidi w:val="0"/>
              <w:adjustRightInd/>
              <w:snapToGrid/>
              <w:spacing w:line="400" w:lineRule="exact"/>
              <w:ind w:left="0" w:leftChars="0" w:right="0" w:rightChars="0" w:firstLine="0" w:firstLineChars="0"/>
              <w:jc w:val="left"/>
              <w:textAlignment w:val="auto"/>
              <w:outlineLvl w:val="9"/>
              <w:rPr>
                <w:rFonts w:hint="eastAsia" w:ascii="宋体" w:hAnsi="宋体" w:cs="宋体"/>
                <w:b/>
                <w:bCs/>
                <w:color w:val="auto"/>
                <w:szCs w:val="21"/>
              </w:rPr>
            </w:pPr>
            <w:r>
              <w:rPr>
                <w:rFonts w:hint="eastAsia" w:ascii="宋体" w:hAnsi="宋体" w:cs="宋体"/>
                <w:b/>
                <w:bCs/>
                <w:color w:val="auto"/>
                <w:szCs w:val="21"/>
              </w:rPr>
              <w:t>符合招标文件的合格</w:t>
            </w:r>
            <w:r>
              <w:rPr>
                <w:rFonts w:hint="eastAsia" w:ascii="宋体" w:hAnsi="宋体" w:cs="宋体"/>
                <w:b/>
                <w:bCs/>
                <w:color w:val="auto"/>
                <w:szCs w:val="21"/>
                <w:lang w:eastAsia="zh-CN"/>
              </w:rPr>
              <w:t>报价人</w:t>
            </w:r>
            <w:r>
              <w:rPr>
                <w:rFonts w:hint="eastAsia" w:ascii="宋体" w:hAnsi="宋体" w:cs="宋体"/>
                <w:b/>
                <w:bCs/>
                <w:color w:val="auto"/>
                <w:szCs w:val="21"/>
              </w:rPr>
              <w:t>条件要求</w:t>
            </w:r>
            <w:r>
              <w:rPr>
                <w:rFonts w:hint="eastAsia" w:ascii="宋体" w:hAnsi="宋体" w:cs="宋体"/>
                <w:b/>
                <w:bCs/>
                <w:color w:val="auto"/>
                <w:szCs w:val="21"/>
                <w:lang w:eastAsia="zh-CN"/>
              </w:rPr>
              <w:t>：</w:t>
            </w:r>
          </w:p>
          <w:p>
            <w:pPr>
              <w:rPr>
                <w:rFonts w:hint="eastAsia"/>
                <w:color w:val="auto"/>
              </w:rPr>
            </w:pPr>
            <w:r>
              <w:rPr>
                <w:rFonts w:hint="eastAsia"/>
                <w:color w:val="auto"/>
              </w:rPr>
              <w:t>1、</w:t>
            </w:r>
            <w:r>
              <w:rPr>
                <w:rFonts w:hint="eastAsia"/>
                <w:color w:val="auto"/>
                <w:lang w:eastAsia="zh-CN"/>
              </w:rPr>
              <w:t>报价人</w:t>
            </w:r>
            <w:r>
              <w:rPr>
                <w:rFonts w:hint="eastAsia"/>
                <w:color w:val="auto"/>
              </w:rPr>
              <w:t>具有独立承担民事责任能力的在中华人民共和国境内注册的法人，具有从事本项目的经营范围和能力；</w:t>
            </w:r>
          </w:p>
          <w:p>
            <w:pPr>
              <w:rPr>
                <w:rFonts w:hint="eastAsia"/>
                <w:color w:val="auto"/>
              </w:rPr>
            </w:pPr>
            <w:r>
              <w:rPr>
                <w:rFonts w:hint="eastAsia"/>
                <w:color w:val="auto"/>
                <w:lang w:val="en-US" w:eastAsia="zh-CN"/>
              </w:rPr>
              <w:t>2</w:t>
            </w:r>
            <w:r>
              <w:rPr>
                <w:rFonts w:hint="eastAsia"/>
                <w:color w:val="auto"/>
              </w:rPr>
              <w:t>、提供</w:t>
            </w:r>
            <w:r>
              <w:rPr>
                <w:rFonts w:hint="eastAsia"/>
                <w:color w:val="auto"/>
                <w:lang w:eastAsia="zh-CN"/>
              </w:rPr>
              <w:t>报价人</w:t>
            </w:r>
            <w:r>
              <w:rPr>
                <w:rFonts w:hint="eastAsia"/>
                <w:color w:val="auto"/>
              </w:rPr>
              <w:t>住所地或者业务发生地人民检察院出具的无行贿犯罪档案查询结果告知函【自出具之日起前</w:t>
            </w:r>
            <w:r>
              <w:rPr>
                <w:color w:val="auto"/>
              </w:rPr>
              <w:t>3</w:t>
            </w:r>
            <w:r>
              <w:rPr>
                <w:rFonts w:hint="eastAsia"/>
                <w:color w:val="auto"/>
              </w:rPr>
              <w:t>年内无行贿犯罪档案记录，若</w:t>
            </w:r>
            <w:r>
              <w:rPr>
                <w:rFonts w:hint="eastAsia"/>
                <w:color w:val="auto"/>
                <w:lang w:eastAsia="zh-CN"/>
              </w:rPr>
              <w:t>报价人</w:t>
            </w:r>
            <w:r>
              <w:rPr>
                <w:rFonts w:hint="eastAsia"/>
                <w:color w:val="auto"/>
              </w:rPr>
              <w:t>自成立之日起不足</w:t>
            </w:r>
            <w:r>
              <w:rPr>
                <w:color w:val="auto"/>
              </w:rPr>
              <w:t>3</w:t>
            </w:r>
            <w:r>
              <w:rPr>
                <w:rFonts w:hint="eastAsia"/>
                <w:color w:val="auto"/>
              </w:rPr>
              <w:t>年的，则出具自成立之日起至出具之日无行贿犯罪档案纪录。无行贿犯罪档案查询结果告知函有效期自出具之日</w:t>
            </w:r>
            <w:r>
              <w:rPr>
                <w:color w:val="auto"/>
              </w:rPr>
              <w:t>2</w:t>
            </w:r>
            <w:r>
              <w:rPr>
                <w:rFonts w:hint="eastAsia"/>
                <w:color w:val="auto"/>
              </w:rPr>
              <w:t>个月内有效，开标时间必须在有效期内，报名时提供复印件并加盖公章，原件核查。投标时</w:t>
            </w:r>
            <w:r>
              <w:rPr>
                <w:rFonts w:hint="eastAsia"/>
                <w:color w:val="auto"/>
                <w:lang w:eastAsia="zh-CN"/>
              </w:rPr>
              <w:t>随投标文件将原件放在正本中</w:t>
            </w:r>
            <w:r>
              <w:rPr>
                <w:rFonts w:hint="eastAsia"/>
                <w:color w:val="auto"/>
              </w:rPr>
              <w:t>。】</w:t>
            </w:r>
          </w:p>
          <w:p>
            <w:pPr>
              <w:rPr>
                <w:rFonts w:hint="eastAsia"/>
                <w:color w:val="auto"/>
                <w:szCs w:val="21"/>
                <w:lang w:val="hr-HR"/>
              </w:rPr>
            </w:pPr>
            <w:r>
              <w:rPr>
                <w:rFonts w:hint="eastAsia"/>
                <w:color w:val="auto"/>
              </w:rPr>
              <w:t>3</w:t>
            </w:r>
            <w:r>
              <w:rPr>
                <w:rFonts w:hint="eastAsia"/>
                <w:color w:val="auto"/>
                <w:lang w:eastAsia="zh-CN"/>
              </w:rPr>
              <w:t>、</w:t>
            </w:r>
            <w:r>
              <w:rPr>
                <w:rFonts w:hint="eastAsia"/>
                <w:color w:val="auto"/>
                <w:szCs w:val="21"/>
                <w:lang w:val="hr-HR" w:eastAsia="zh-CN"/>
              </w:rPr>
              <w:t>报价人必须具有建设行政主管部门颁发的工程造价咨询机构乙级或以上资质证书</w:t>
            </w:r>
            <w:r>
              <w:rPr>
                <w:rFonts w:hint="eastAsia"/>
                <w:color w:val="auto"/>
                <w:szCs w:val="21"/>
                <w:lang w:val="hr-HR"/>
              </w:rPr>
              <w:t>；</w:t>
            </w:r>
          </w:p>
          <w:p>
            <w:pPr>
              <w:rPr>
                <w:rFonts w:hint="eastAsia"/>
                <w:color w:val="auto"/>
              </w:rPr>
            </w:pPr>
            <w:r>
              <w:rPr>
                <w:rFonts w:hint="eastAsia" w:ascii="宋体" w:hAnsi="宋体"/>
                <w:color w:val="auto"/>
                <w:szCs w:val="21"/>
                <w:lang w:val="en-US" w:eastAsia="zh-CN"/>
              </w:rPr>
              <w:t>4、</w:t>
            </w:r>
            <w:r>
              <w:rPr>
                <w:rFonts w:hint="eastAsia"/>
                <w:color w:val="auto"/>
                <w:lang w:val="hr-HR" w:eastAsia="zh-CN"/>
              </w:rPr>
              <w:t>报价人</w:t>
            </w:r>
            <w:r>
              <w:rPr>
                <w:rFonts w:hint="eastAsia"/>
                <w:color w:val="auto"/>
                <w:lang w:val="hr-HR"/>
              </w:rPr>
              <w:t>具有云浮市（区）建设行政主管部门颁发的有效的《云浮市建筑行业诚信手册》，有效是指诚信管理系统状态显示为“正常”。《云浮市建筑行业诚信手册》的有效范围是最新</w:t>
            </w:r>
            <w:r>
              <w:rPr>
                <w:rFonts w:hint="eastAsia"/>
                <w:color w:val="auto"/>
              </w:rPr>
              <w:t>年度考评结论为C或以上的</w:t>
            </w:r>
            <w:r>
              <w:rPr>
                <w:rFonts w:hint="eastAsia"/>
                <w:color w:val="auto"/>
                <w:lang w:eastAsia="zh-CN"/>
              </w:rPr>
              <w:t>。</w:t>
            </w:r>
          </w:p>
          <w:p>
            <w:pPr>
              <w:rPr>
                <w:rFonts w:hint="eastAsia"/>
                <w:color w:val="auto"/>
                <w:lang w:eastAsia="zh-CN"/>
              </w:rPr>
            </w:pPr>
            <w:r>
              <w:rPr>
                <w:rFonts w:hint="eastAsia"/>
                <w:color w:val="auto"/>
                <w:lang w:val="en-US" w:eastAsia="zh-CN"/>
              </w:rPr>
              <w:t>5、</w:t>
            </w:r>
            <w:r>
              <w:rPr>
                <w:color w:val="auto"/>
                <w:lang w:val="en-US" w:eastAsia="zh-CN"/>
              </w:rPr>
              <w:t>按照《财政部关于在政府采购活动中查询及使用信用记录有关问题的通知》（财库﹝2016﹞125号）的要求，根据评审时“信用中国”网站（</w:t>
            </w:r>
            <w:r>
              <w:rPr>
                <w:color w:val="auto"/>
                <w:lang w:val="en-US" w:eastAsia="zh-CN"/>
              </w:rPr>
              <w:drawing>
                <wp:inline distT="0" distB="0" distL="114300" distR="114300">
                  <wp:extent cx="190500" cy="142875"/>
                  <wp:effectExtent l="0" t="0" r="0" b="9525"/>
                  <wp:docPr id="7"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descr="IMG_256"/>
                          <pic:cNvPicPr>
                            <a:picLocks noChangeAspect="1"/>
                          </pic:cNvPicPr>
                        </pic:nvPicPr>
                        <pic:blipFill>
                          <a:blip r:embed="rId19"/>
                          <a:stretch>
                            <a:fillRect/>
                          </a:stretch>
                        </pic:blipFill>
                        <pic:spPr>
                          <a:xfrm>
                            <a:off x="0" y="0"/>
                            <a:ext cx="190500" cy="142875"/>
                          </a:xfrm>
                          <a:prstGeom prst="rect">
                            <a:avLst/>
                          </a:prstGeom>
                          <a:noFill/>
                          <a:ln w="9525">
                            <a:noFill/>
                          </a:ln>
                        </pic:spPr>
                      </pic:pic>
                    </a:graphicData>
                  </a:graphic>
                </wp:inline>
              </w:drawing>
            </w:r>
            <w:r>
              <w:rPr>
                <w:color w:val="auto"/>
                <w:lang w:val="en-US" w:eastAsia="zh-CN"/>
              </w:rPr>
              <w:t>www.creditchina.gov.cn）</w:t>
            </w:r>
            <w:r>
              <w:rPr>
                <w:rFonts w:hint="eastAsia"/>
                <w:color w:val="auto"/>
                <w:lang w:val="en-US" w:eastAsia="zh-CN"/>
              </w:rPr>
              <w:t>、中国政府采购网(www.ccgp.gov.cn)</w:t>
            </w:r>
            <w:r>
              <w:rPr>
                <w:color w:val="auto"/>
                <w:lang w:val="en-US" w:eastAsia="zh-CN"/>
              </w:rPr>
              <w:t>的信息，对列入失信被执行人、重大税收违法案件当事人名单、政府采购严重违法失信行为记录名单的供应商，拒绝其参与政府采购活动（如查询结果显示“没查到您要的信息”，视为没有上述三类不良信用记录）</w:t>
            </w:r>
            <w:r>
              <w:rPr>
                <w:rFonts w:hint="eastAsia"/>
                <w:color w:val="auto"/>
                <w:lang w:val="en-US" w:eastAsia="zh-CN"/>
              </w:rPr>
              <w:t>，处罚期限届满的除外</w:t>
            </w:r>
            <w:r>
              <w:rPr>
                <w:color w:val="auto"/>
                <w:lang w:val="en-US" w:eastAsia="zh-CN"/>
              </w:rPr>
              <w:t> 。同时提供对信用信息记录</w:t>
            </w:r>
            <w:r>
              <w:rPr>
                <w:rFonts w:hint="eastAsia"/>
                <w:color w:val="auto"/>
              </w:rPr>
              <w:t>查询结果打印页面</w:t>
            </w:r>
            <w:r>
              <w:rPr>
                <w:rFonts w:hint="eastAsia"/>
                <w:color w:val="auto"/>
                <w:lang w:val="en-US" w:eastAsia="zh-CN"/>
              </w:rPr>
              <w:t>并加盖公章</w:t>
            </w:r>
            <w:r>
              <w:rPr>
                <w:rFonts w:hint="eastAsia"/>
                <w:color w:val="auto"/>
                <w:lang w:eastAsia="zh-CN"/>
              </w:rPr>
              <w:t>。</w:t>
            </w:r>
          </w:p>
          <w:p>
            <w:pPr>
              <w:rPr>
                <w:rFonts w:hint="eastAsia"/>
                <w:color w:val="auto"/>
                <w:lang w:val="en-US" w:eastAsia="zh-CN"/>
              </w:rPr>
            </w:pPr>
            <w:r>
              <w:rPr>
                <w:rFonts w:hint="eastAsia"/>
                <w:color w:val="auto"/>
                <w:lang w:val="en-US" w:eastAsia="zh-CN"/>
              </w:rPr>
              <w:t>6、为采购项目提供整体设计、规范编制或者项目管理、监理、检测等服务的供应商，不得再参加该采购项目的其他采购活动。（提供《承诺书》）</w:t>
            </w:r>
          </w:p>
          <w:p>
            <w:pPr>
              <w:rPr>
                <w:rFonts w:hint="eastAsia"/>
                <w:color w:val="auto"/>
                <w:lang w:eastAsia="zh-CN"/>
              </w:rPr>
            </w:pPr>
            <w:r>
              <w:rPr>
                <w:rFonts w:hint="eastAsia"/>
                <w:color w:val="auto"/>
                <w:lang w:val="en-US" w:eastAsia="zh-CN"/>
              </w:rPr>
              <w:t>7、</w:t>
            </w:r>
            <w:r>
              <w:rPr>
                <w:rFonts w:hint="eastAsia"/>
                <w:color w:val="auto"/>
              </w:rPr>
              <w:t>单位负责人为同一人或者存在直接控股、管理关系的不同供应商，不得参加同一合同项下的政府采购活动（以国家企业信用信息公示系统www.gsxt.gov.cn查询结果为准）</w:t>
            </w:r>
            <w:r>
              <w:rPr>
                <w:rFonts w:hint="eastAsia"/>
                <w:color w:val="auto"/>
                <w:lang w:eastAsia="zh-CN"/>
              </w:rPr>
              <w:t>。</w:t>
            </w:r>
          </w:p>
          <w:p>
            <w:pPr>
              <w:rPr>
                <w:rFonts w:hint="eastAsia"/>
                <w:color w:val="auto"/>
              </w:rPr>
            </w:pPr>
            <w:r>
              <w:rPr>
                <w:rFonts w:hint="eastAsia"/>
                <w:color w:val="auto"/>
                <w:lang w:val="en-US" w:eastAsia="zh-CN"/>
              </w:rPr>
              <w:t>8</w:t>
            </w:r>
            <w:r>
              <w:rPr>
                <w:rFonts w:hint="eastAsia"/>
                <w:color w:val="auto"/>
              </w:rPr>
              <w:t>、符合《中华人民共和国政府采购法》第二十二条的规定。</w:t>
            </w:r>
          </w:p>
          <w:p>
            <w:pPr>
              <w:rPr>
                <w:color w:val="auto"/>
              </w:rPr>
            </w:pPr>
            <w:r>
              <w:rPr>
                <w:rFonts w:hint="eastAsia"/>
                <w:color w:val="auto"/>
                <w:lang w:val="en-US" w:eastAsia="zh-CN"/>
              </w:rPr>
              <w:t>9</w:t>
            </w:r>
            <w:r>
              <w:rPr>
                <w:rFonts w:hint="eastAsia"/>
                <w:color w:val="auto"/>
              </w:rPr>
              <w:t>、</w:t>
            </w:r>
            <w:r>
              <w:rPr>
                <w:color w:val="auto"/>
              </w:rPr>
              <w:t>本项目</w:t>
            </w:r>
            <w:r>
              <w:rPr>
                <w:rFonts w:hint="eastAsia"/>
                <w:color w:val="auto"/>
              </w:rPr>
              <w:t>不接受</w:t>
            </w:r>
            <w:r>
              <w:rPr>
                <w:color w:val="auto"/>
              </w:rPr>
              <w:t>联合体投标。</w:t>
            </w:r>
          </w:p>
          <w:p>
            <w:pPr>
              <w:rPr>
                <w:rFonts w:hint="eastAsia" w:eastAsia="宋体"/>
                <w:color w:val="auto"/>
                <w:lang w:val="en-US" w:eastAsia="zh-CN"/>
              </w:rPr>
            </w:pPr>
            <w:r>
              <w:rPr>
                <w:rFonts w:hint="eastAsia"/>
                <w:color w:val="auto"/>
                <w:lang w:val="en-US" w:eastAsia="zh-CN"/>
              </w:rPr>
              <w:t>10、</w:t>
            </w:r>
            <w:r>
              <w:rPr>
                <w:rFonts w:hint="eastAsia" w:ascii="宋体" w:hAnsi="宋体" w:cs="宋体"/>
                <w:color w:val="auto"/>
                <w:szCs w:val="21"/>
              </w:rPr>
              <w:t>投标保证金已足额提交</w:t>
            </w:r>
            <w:r>
              <w:rPr>
                <w:rFonts w:hint="eastAsia" w:ascii="宋体" w:hAnsi="宋体" w:cs="宋体"/>
                <w:color w:val="auto"/>
                <w:szCs w:val="21"/>
                <w:lang w:eastAsia="zh-CN"/>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color w:val="auto"/>
              </w:rPr>
            </w:pPr>
            <w:r>
              <w:rPr>
                <w:rFonts w:hint="eastAsia" w:ascii="宋体" w:hAnsi="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restart"/>
            <w:tcBorders>
              <w:top w:val="single" w:color="auto" w:sz="4" w:space="0"/>
              <w:left w:val="single" w:color="auto" w:sz="4" w:space="0"/>
              <w:right w:val="single" w:color="auto" w:sz="4" w:space="0"/>
            </w:tcBorders>
            <w:vAlign w:val="center"/>
          </w:tcPr>
          <w:p>
            <w:pPr>
              <w:rPr>
                <w:rFonts w:hint="eastAsia" w:ascii="宋体" w:hAnsi="宋体" w:eastAsia="宋体" w:cs="宋体"/>
                <w:color w:val="auto"/>
                <w:lang w:val="en-US" w:eastAsia="zh-CN"/>
              </w:rPr>
            </w:pPr>
            <w:r>
              <w:rPr>
                <w:rFonts w:hint="eastAsia" w:ascii="宋体" w:hAnsi="宋体" w:cs="宋体"/>
                <w:color w:val="auto"/>
                <w:lang w:val="en-US" w:eastAsia="zh-CN"/>
              </w:rPr>
              <w:t>符合性审查</w:t>
            </w:r>
          </w:p>
        </w:tc>
        <w:tc>
          <w:tcPr>
            <w:tcW w:w="4811" w:type="dxa"/>
            <w:tcBorders>
              <w:top w:val="outset" w:color="111111" w:sz="6" w:space="0"/>
              <w:left w:val="single" w:color="auto" w:sz="4"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报价文件完整、符合磋商文件规定的密封、签署、 盖章</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color w:val="auto"/>
              </w:rPr>
            </w:pPr>
            <w:r>
              <w:rPr>
                <w:rFonts w:hint="eastAsia" w:ascii="宋体" w:hAnsi="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auto"/>
              </w:rPr>
            </w:pPr>
          </w:p>
        </w:tc>
        <w:tc>
          <w:tcPr>
            <w:tcW w:w="4811" w:type="dxa"/>
            <w:tcBorders>
              <w:top w:val="outset" w:color="111111" w:sz="6" w:space="0"/>
              <w:left w:val="single" w:color="auto" w:sz="4"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报价有效期是否为90天</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color w:val="auto"/>
              </w:rPr>
            </w:pPr>
            <w:r>
              <w:rPr>
                <w:rFonts w:hint="eastAsia" w:ascii="宋体" w:hAnsi="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auto"/>
              </w:rPr>
            </w:pPr>
          </w:p>
        </w:tc>
        <w:tc>
          <w:tcPr>
            <w:tcW w:w="4811" w:type="dxa"/>
            <w:tcBorders>
              <w:top w:val="outset" w:color="111111" w:sz="6" w:space="0"/>
              <w:left w:val="single" w:color="auto" w:sz="4"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lang w:val="en-US" w:eastAsia="zh-CN"/>
              </w:rPr>
              <w:t>服务</w:t>
            </w:r>
            <w:r>
              <w:rPr>
                <w:rFonts w:hint="eastAsia" w:ascii="宋体" w:hAnsi="宋体" w:cs="宋体"/>
                <w:color w:val="auto"/>
              </w:rPr>
              <w:t>商务没有重大偏离或保留</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color w:val="auto"/>
              </w:rPr>
            </w:pPr>
            <w:r>
              <w:rPr>
                <w:rFonts w:hint="eastAsia" w:ascii="宋体" w:hAnsi="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auto"/>
              </w:rPr>
            </w:pPr>
          </w:p>
        </w:tc>
        <w:tc>
          <w:tcPr>
            <w:tcW w:w="4811" w:type="dxa"/>
            <w:tcBorders>
              <w:top w:val="outset" w:color="111111" w:sz="6" w:space="0"/>
              <w:left w:val="single" w:color="auto" w:sz="4"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是否满足《用户需求书》中功能要求、技术指标和服务要求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color w:val="auto"/>
              </w:rPr>
            </w:pPr>
            <w:r>
              <w:rPr>
                <w:rFonts w:hint="eastAsia" w:ascii="宋体" w:hAnsi="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78" w:hRule="atLeast"/>
          <w:jc w:val="center"/>
        </w:trPr>
        <w:tc>
          <w:tcPr>
            <w:tcW w:w="783"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cs="宋体"/>
                <w:color w:val="auto"/>
              </w:rPr>
            </w:pPr>
          </w:p>
        </w:tc>
        <w:tc>
          <w:tcPr>
            <w:tcW w:w="4811" w:type="dxa"/>
            <w:tcBorders>
              <w:top w:val="outset" w:color="111111" w:sz="6" w:space="0"/>
              <w:left w:val="single" w:color="auto" w:sz="4"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没有其它未实质性响应磋商文件的要求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ascii="宋体" w:hAnsi="宋体" w:cs="宋体"/>
                <w:color w:val="auto"/>
              </w:rPr>
            </w:pPr>
            <w:r>
              <w:rPr>
                <w:rFonts w:hint="eastAsia" w:ascii="宋体" w:hAnsi="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ascii="宋体" w:hAnsi="宋体" w:cs="宋体"/>
                <w:color w:val="auto"/>
              </w:rPr>
            </w:pPr>
            <w:r>
              <w:rPr>
                <w:rFonts w:hint="eastAsia" w:ascii="宋体" w:hAnsi="宋体" w:cs="宋体"/>
                <w:color w:val="auto"/>
              </w:rPr>
              <w:t>见报价文件第（ ）页</w:t>
            </w:r>
          </w:p>
        </w:tc>
      </w:tr>
    </w:tbl>
    <w:p>
      <w:pPr>
        <w:pStyle w:val="12"/>
        <w:spacing w:after="0" w:line="360" w:lineRule="auto"/>
        <w:rPr>
          <w:rFonts w:ascii="宋体" w:hAnsi="宋体"/>
          <w:color w:val="auto"/>
          <w:sz w:val="21"/>
          <w:szCs w:val="21"/>
        </w:rPr>
      </w:pPr>
      <w:r>
        <w:rPr>
          <w:rFonts w:hint="eastAsia" w:ascii="宋体" w:hAnsi="宋体"/>
          <w:color w:val="auto"/>
          <w:sz w:val="21"/>
          <w:szCs w:val="21"/>
        </w:rPr>
        <w:t>注：以上材料将作为报价人合格性和有效性审核的重要内容之一，报价人必须严格按照其内容及序列要求在报价文件中对应如实提供，对缺漏和不符合项将会直接导致无效报价！在对应的□打“√”。</w:t>
      </w:r>
    </w:p>
    <w:p>
      <w:pPr>
        <w:pStyle w:val="12"/>
        <w:spacing w:after="0" w:line="360" w:lineRule="auto"/>
        <w:rPr>
          <w:rFonts w:ascii="宋体" w:hAnsi="宋体"/>
          <w:color w:val="auto"/>
          <w:sz w:val="21"/>
          <w:szCs w:val="21"/>
        </w:rPr>
      </w:pPr>
    </w:p>
    <w:p>
      <w:pPr>
        <w:adjustRightInd w:val="0"/>
        <w:snapToGrid w:val="0"/>
        <w:spacing w:line="360" w:lineRule="auto"/>
        <w:jc w:val="both"/>
        <w:rPr>
          <w:rFonts w:ascii="宋体" w:hAnsi="宋体"/>
          <w:color w:val="auto"/>
          <w:szCs w:val="21"/>
          <w:u w:val="single"/>
        </w:rPr>
      </w:pPr>
      <w:r>
        <w:rPr>
          <w:rFonts w:hint="eastAsia" w:ascii="宋体" w:hAnsi="宋体"/>
          <w:color w:val="auto"/>
          <w:szCs w:val="21"/>
        </w:rPr>
        <w:t>报价人法定代表人（或法定代表人授权代表）签字：</w:t>
      </w:r>
      <w:r>
        <w:rPr>
          <w:rFonts w:hint="eastAsia" w:ascii="宋体" w:hAnsi="宋体"/>
          <w:color w:val="auto"/>
          <w:szCs w:val="21"/>
          <w:u w:val="single"/>
        </w:rPr>
        <w:t xml:space="preserve">                   </w:t>
      </w:r>
    </w:p>
    <w:p>
      <w:pPr>
        <w:adjustRightInd w:val="0"/>
        <w:snapToGrid w:val="0"/>
        <w:spacing w:line="360" w:lineRule="auto"/>
        <w:jc w:val="both"/>
        <w:rPr>
          <w:rFonts w:ascii="宋体" w:hAnsi="宋体"/>
          <w:color w:val="auto"/>
          <w:szCs w:val="21"/>
          <w:u w:val="single"/>
        </w:rPr>
      </w:pPr>
      <w:r>
        <w:rPr>
          <w:rFonts w:hint="eastAsia" w:ascii="宋体" w:hAnsi="宋体"/>
          <w:color w:val="auto"/>
          <w:szCs w:val="21"/>
        </w:rPr>
        <w:t>报价人名称（签章）：</w:t>
      </w:r>
      <w:r>
        <w:rPr>
          <w:rFonts w:hint="eastAsia" w:ascii="宋体" w:hAnsi="宋体"/>
          <w:color w:val="auto"/>
          <w:szCs w:val="21"/>
          <w:u w:val="single"/>
        </w:rPr>
        <w:t xml:space="preserve">                        </w:t>
      </w:r>
    </w:p>
    <w:p>
      <w:pPr>
        <w:tabs>
          <w:tab w:val="left" w:pos="800"/>
          <w:tab w:val="left" w:pos="1000"/>
        </w:tabs>
        <w:spacing w:line="360" w:lineRule="auto"/>
        <w:jc w:val="both"/>
        <w:rPr>
          <w:rFonts w:hAnsi="宋体"/>
          <w:color w:val="auto"/>
          <w:szCs w:val="21"/>
        </w:rPr>
        <w:sectPr>
          <w:headerReference r:id="rId14" w:type="default"/>
          <w:footerReference r:id="rId15" w:type="default"/>
          <w:pgSz w:w="11907" w:h="16840"/>
          <w:pgMar w:top="1440" w:right="1418" w:bottom="1440" w:left="1418" w:header="851" w:footer="851" w:gutter="0"/>
          <w:pgNumType w:fmt="decimal" w:start="1"/>
          <w:cols w:space="720" w:num="1"/>
          <w:docGrid w:linePitch="285" w:charSpace="0"/>
        </w:sectPr>
      </w:pPr>
      <w:r>
        <w:rPr>
          <w:rFonts w:hint="eastAsia" w:hAnsi="宋体"/>
          <w:color w:val="auto"/>
          <w:szCs w:val="21"/>
        </w:rPr>
        <w:t>日期：   年   月   日</w:t>
      </w:r>
    </w:p>
    <w:p>
      <w:pPr>
        <w:spacing w:line="360" w:lineRule="auto"/>
        <w:jc w:val="center"/>
        <w:rPr>
          <w:rFonts w:ascii="宋体" w:hAnsi="宋体"/>
          <w:b/>
          <w:bCs/>
          <w:color w:val="auto"/>
          <w:szCs w:val="21"/>
        </w:rPr>
      </w:pPr>
      <w:r>
        <w:rPr>
          <w:rFonts w:hint="eastAsia" w:ascii="宋体" w:hAnsi="宋体"/>
          <w:b/>
          <w:bCs/>
          <w:color w:val="auto"/>
          <w:szCs w:val="21"/>
        </w:rPr>
        <w:t>1.2评审项目报价资料表</w:t>
      </w:r>
    </w:p>
    <w:tbl>
      <w:tblPr>
        <w:tblStyle w:val="30"/>
        <w:tblpPr w:leftFromText="180" w:rightFromText="180" w:vertAnchor="page" w:horzAnchor="margin" w:tblpXSpec="center" w:tblpY="2213"/>
        <w:tblW w:w="9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633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1548" w:type="dxa"/>
            <w:vAlign w:val="center"/>
          </w:tcPr>
          <w:p>
            <w:pPr>
              <w:pStyle w:val="49"/>
              <w:keepNext w:val="0"/>
              <w:adjustRightInd/>
              <w:spacing w:before="0" w:after="0" w:line="360" w:lineRule="auto"/>
              <w:rPr>
                <w:rFonts w:ascii="宋体" w:hAnsi="宋体"/>
                <w:b/>
                <w:bCs/>
                <w:color w:val="auto"/>
                <w:spacing w:val="0"/>
                <w:kern w:val="2"/>
                <w:sz w:val="21"/>
                <w:szCs w:val="21"/>
              </w:rPr>
            </w:pPr>
            <w:r>
              <w:rPr>
                <w:rFonts w:hint="eastAsia" w:ascii="宋体" w:hAnsi="宋体"/>
                <w:b/>
                <w:bCs/>
                <w:color w:val="auto"/>
                <w:spacing w:val="0"/>
                <w:kern w:val="2"/>
                <w:sz w:val="21"/>
                <w:szCs w:val="21"/>
              </w:rPr>
              <w:t>评审分项</w:t>
            </w:r>
          </w:p>
        </w:tc>
        <w:tc>
          <w:tcPr>
            <w:tcW w:w="6330" w:type="dxa"/>
            <w:vAlign w:val="center"/>
          </w:tcPr>
          <w:p>
            <w:pPr>
              <w:pStyle w:val="49"/>
              <w:keepNext w:val="0"/>
              <w:adjustRightInd/>
              <w:spacing w:before="0" w:after="0" w:line="360" w:lineRule="auto"/>
              <w:rPr>
                <w:rFonts w:ascii="宋体" w:hAnsi="宋体"/>
                <w:b/>
                <w:bCs/>
                <w:color w:val="auto"/>
                <w:spacing w:val="0"/>
                <w:kern w:val="2"/>
                <w:sz w:val="21"/>
                <w:szCs w:val="21"/>
              </w:rPr>
            </w:pPr>
            <w:r>
              <w:rPr>
                <w:rFonts w:hint="eastAsia" w:ascii="宋体" w:hAnsi="宋体"/>
                <w:b/>
                <w:bCs/>
                <w:color w:val="auto"/>
                <w:spacing w:val="0"/>
                <w:kern w:val="2"/>
                <w:sz w:val="21"/>
                <w:szCs w:val="21"/>
              </w:rPr>
              <w:t>评审细则</w:t>
            </w:r>
          </w:p>
        </w:tc>
        <w:tc>
          <w:tcPr>
            <w:tcW w:w="1620" w:type="dxa"/>
            <w:vAlign w:val="center"/>
          </w:tcPr>
          <w:p>
            <w:pPr>
              <w:pStyle w:val="49"/>
              <w:keepNext w:val="0"/>
              <w:adjustRightInd/>
              <w:spacing w:before="0" w:after="0" w:line="360" w:lineRule="auto"/>
              <w:rPr>
                <w:rFonts w:ascii="宋体" w:hAnsi="宋体"/>
                <w:b/>
                <w:bCs/>
                <w:color w:val="auto"/>
                <w:spacing w:val="0"/>
                <w:kern w:val="2"/>
                <w:sz w:val="21"/>
                <w:szCs w:val="21"/>
              </w:rPr>
            </w:pPr>
            <w:r>
              <w:rPr>
                <w:rFonts w:hint="eastAsia" w:ascii="宋体" w:hAnsi="宋体"/>
                <w:b/>
                <w:bCs/>
                <w:color w:val="auto"/>
                <w:spacing w:val="0"/>
                <w:kern w:val="2"/>
                <w:sz w:val="21"/>
                <w:szCs w:val="21"/>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trPr>
        <w:tc>
          <w:tcPr>
            <w:tcW w:w="1548" w:type="dxa"/>
            <w:vAlign w:val="center"/>
          </w:tcPr>
          <w:p>
            <w:pPr>
              <w:pStyle w:val="52"/>
              <w:spacing w:before="0" w:after="0" w:line="360" w:lineRule="auto"/>
              <w:rPr>
                <w:rFonts w:ascii="宋体" w:hAnsi="宋体"/>
                <w:color w:val="auto"/>
                <w:sz w:val="21"/>
                <w:szCs w:val="21"/>
              </w:rPr>
            </w:pPr>
          </w:p>
        </w:tc>
        <w:tc>
          <w:tcPr>
            <w:tcW w:w="6330" w:type="dxa"/>
            <w:vAlign w:val="center"/>
          </w:tcPr>
          <w:p>
            <w:pPr>
              <w:pStyle w:val="21"/>
              <w:spacing w:line="360" w:lineRule="auto"/>
              <w:rPr>
                <w:rFonts w:ascii="宋体" w:hAnsi="宋体"/>
                <w:b/>
                <w:bCs/>
                <w:i/>
                <w:iCs/>
                <w:color w:val="auto"/>
                <w:szCs w:val="21"/>
              </w:rPr>
            </w:pPr>
          </w:p>
        </w:tc>
        <w:tc>
          <w:tcPr>
            <w:tcW w:w="1620" w:type="dxa"/>
            <w:vAlign w:val="center"/>
          </w:tcPr>
          <w:p>
            <w:pPr>
              <w:spacing w:line="360" w:lineRule="auto"/>
              <w:ind w:left="-171"/>
              <w:jc w:val="center"/>
              <w:rPr>
                <w:rFonts w:ascii="宋体" w:hAnsi="宋体"/>
                <w:color w:val="auto"/>
                <w:szCs w:val="21"/>
              </w:rPr>
            </w:pPr>
            <w:r>
              <w:rPr>
                <w:rFonts w:hint="eastAsia" w:ascii="宋体" w:hAnsi="宋体"/>
                <w:color w:val="auto"/>
                <w:szCs w:val="21"/>
              </w:rPr>
              <w:t>见</w:t>
            </w:r>
            <w:r>
              <w:rPr>
                <w:rFonts w:ascii="宋体" w:hAnsi="宋体"/>
                <w:color w:val="auto"/>
                <w:szCs w:val="21"/>
              </w:rPr>
              <w:t>报价文件</w:t>
            </w:r>
          </w:p>
          <w:p>
            <w:pPr>
              <w:spacing w:line="360" w:lineRule="auto"/>
              <w:ind w:left="-171"/>
              <w:jc w:val="center"/>
              <w:rPr>
                <w:rFonts w:ascii="宋体" w:hAnsi="宋体"/>
                <w:color w:val="auto"/>
                <w:szCs w:val="21"/>
              </w:rPr>
            </w:pPr>
            <w:r>
              <w:rPr>
                <w:rFonts w:ascii="宋体" w:hAnsi="宋体"/>
                <w:color w:val="auto"/>
                <w:szCs w:val="21"/>
              </w:rPr>
              <w:t>第</w:t>
            </w:r>
            <w:r>
              <w:rPr>
                <w:rFonts w:hint="eastAsia" w:ascii="宋体" w:hAnsi="宋体"/>
                <w:color w:val="auto"/>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1" w:hRule="atLeast"/>
        </w:trPr>
        <w:tc>
          <w:tcPr>
            <w:tcW w:w="1548" w:type="dxa"/>
            <w:vAlign w:val="center"/>
          </w:tcPr>
          <w:p>
            <w:pPr>
              <w:spacing w:line="360" w:lineRule="auto"/>
              <w:rPr>
                <w:rFonts w:ascii="宋体" w:hAnsi="宋体"/>
                <w:color w:val="auto"/>
                <w:szCs w:val="21"/>
              </w:rPr>
            </w:pPr>
          </w:p>
        </w:tc>
        <w:tc>
          <w:tcPr>
            <w:tcW w:w="6330" w:type="dxa"/>
            <w:vAlign w:val="center"/>
          </w:tcPr>
          <w:p>
            <w:pPr>
              <w:pStyle w:val="21"/>
              <w:spacing w:line="360" w:lineRule="auto"/>
              <w:rPr>
                <w:rFonts w:ascii="宋体" w:hAnsi="宋体"/>
                <w:color w:val="auto"/>
                <w:szCs w:val="21"/>
              </w:rPr>
            </w:pPr>
          </w:p>
        </w:tc>
        <w:tc>
          <w:tcPr>
            <w:tcW w:w="1620" w:type="dxa"/>
            <w:vAlign w:val="center"/>
          </w:tcPr>
          <w:p>
            <w:pPr>
              <w:spacing w:line="360" w:lineRule="auto"/>
              <w:ind w:left="-171"/>
              <w:jc w:val="center"/>
              <w:rPr>
                <w:rFonts w:ascii="宋体" w:hAnsi="宋体"/>
                <w:color w:val="auto"/>
                <w:szCs w:val="21"/>
              </w:rPr>
            </w:pPr>
            <w:r>
              <w:rPr>
                <w:rFonts w:hint="eastAsia" w:ascii="宋体" w:hAnsi="宋体"/>
                <w:color w:val="auto"/>
                <w:szCs w:val="21"/>
              </w:rPr>
              <w:t>见</w:t>
            </w:r>
            <w:r>
              <w:rPr>
                <w:rFonts w:ascii="宋体" w:hAnsi="宋体"/>
                <w:color w:val="auto"/>
                <w:szCs w:val="21"/>
              </w:rPr>
              <w:t>报价文件</w:t>
            </w:r>
          </w:p>
          <w:p>
            <w:pPr>
              <w:spacing w:line="360" w:lineRule="auto"/>
              <w:ind w:left="-171"/>
              <w:jc w:val="center"/>
              <w:rPr>
                <w:rFonts w:ascii="宋体" w:hAnsi="宋体"/>
                <w:color w:val="auto"/>
                <w:szCs w:val="21"/>
              </w:rPr>
            </w:pPr>
            <w:r>
              <w:rPr>
                <w:rFonts w:ascii="宋体" w:hAnsi="宋体"/>
                <w:color w:val="auto"/>
                <w:szCs w:val="21"/>
              </w:rPr>
              <w:t>第</w:t>
            </w:r>
            <w:r>
              <w:rPr>
                <w:rFonts w:hint="eastAsia" w:ascii="宋体" w:hAnsi="宋体"/>
                <w:color w:val="auto"/>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2" w:hRule="atLeast"/>
        </w:trPr>
        <w:tc>
          <w:tcPr>
            <w:tcW w:w="1548" w:type="dxa"/>
            <w:vAlign w:val="center"/>
          </w:tcPr>
          <w:p>
            <w:pPr>
              <w:spacing w:line="360" w:lineRule="auto"/>
              <w:rPr>
                <w:rFonts w:ascii="宋体" w:hAnsi="宋体"/>
                <w:color w:val="auto"/>
                <w:szCs w:val="21"/>
              </w:rPr>
            </w:pPr>
          </w:p>
        </w:tc>
        <w:tc>
          <w:tcPr>
            <w:tcW w:w="6330" w:type="dxa"/>
            <w:vAlign w:val="center"/>
          </w:tcPr>
          <w:p>
            <w:pPr>
              <w:pStyle w:val="21"/>
              <w:spacing w:line="360" w:lineRule="auto"/>
              <w:rPr>
                <w:rFonts w:ascii="宋体" w:hAnsi="宋体"/>
                <w:b/>
                <w:bCs/>
                <w:i/>
                <w:iCs/>
                <w:color w:val="auto"/>
                <w:szCs w:val="21"/>
              </w:rPr>
            </w:pPr>
          </w:p>
        </w:tc>
        <w:tc>
          <w:tcPr>
            <w:tcW w:w="1620" w:type="dxa"/>
            <w:vAlign w:val="center"/>
          </w:tcPr>
          <w:p>
            <w:pPr>
              <w:spacing w:line="360" w:lineRule="auto"/>
              <w:ind w:left="-171"/>
              <w:jc w:val="center"/>
              <w:rPr>
                <w:rFonts w:ascii="宋体" w:hAnsi="宋体"/>
                <w:color w:val="auto"/>
                <w:szCs w:val="21"/>
              </w:rPr>
            </w:pPr>
            <w:r>
              <w:rPr>
                <w:rFonts w:hint="eastAsia" w:ascii="宋体" w:hAnsi="宋体"/>
                <w:color w:val="auto"/>
                <w:szCs w:val="21"/>
              </w:rPr>
              <w:t>见</w:t>
            </w:r>
            <w:r>
              <w:rPr>
                <w:rFonts w:ascii="宋体" w:hAnsi="宋体"/>
                <w:color w:val="auto"/>
                <w:szCs w:val="21"/>
              </w:rPr>
              <w:t>报价文件</w:t>
            </w:r>
          </w:p>
          <w:p>
            <w:pPr>
              <w:spacing w:line="360" w:lineRule="auto"/>
              <w:ind w:left="-171"/>
              <w:jc w:val="center"/>
              <w:rPr>
                <w:rFonts w:ascii="宋体" w:hAnsi="宋体"/>
                <w:color w:val="auto"/>
                <w:szCs w:val="21"/>
              </w:rPr>
            </w:pPr>
            <w:r>
              <w:rPr>
                <w:rFonts w:ascii="宋体" w:hAnsi="宋体"/>
                <w:color w:val="auto"/>
                <w:szCs w:val="21"/>
              </w:rPr>
              <w:t>第</w:t>
            </w:r>
            <w:r>
              <w:rPr>
                <w:rFonts w:hint="eastAsia" w:ascii="宋体" w:hAnsi="宋体"/>
                <w:color w:val="auto"/>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0" w:hRule="atLeast"/>
        </w:trPr>
        <w:tc>
          <w:tcPr>
            <w:tcW w:w="1548" w:type="dxa"/>
            <w:vAlign w:val="center"/>
          </w:tcPr>
          <w:p>
            <w:pPr>
              <w:spacing w:line="360" w:lineRule="auto"/>
              <w:rPr>
                <w:rFonts w:ascii="宋体" w:hAnsi="宋体"/>
                <w:color w:val="auto"/>
                <w:szCs w:val="21"/>
              </w:rPr>
            </w:pPr>
          </w:p>
        </w:tc>
        <w:tc>
          <w:tcPr>
            <w:tcW w:w="6330" w:type="dxa"/>
            <w:vAlign w:val="center"/>
          </w:tcPr>
          <w:p>
            <w:pPr>
              <w:pStyle w:val="21"/>
              <w:spacing w:line="360" w:lineRule="auto"/>
              <w:rPr>
                <w:rFonts w:ascii="宋体" w:hAnsi="宋体"/>
                <w:color w:val="auto"/>
                <w:szCs w:val="21"/>
              </w:rPr>
            </w:pPr>
          </w:p>
        </w:tc>
        <w:tc>
          <w:tcPr>
            <w:tcW w:w="1620" w:type="dxa"/>
            <w:vAlign w:val="center"/>
          </w:tcPr>
          <w:p>
            <w:pPr>
              <w:spacing w:line="360" w:lineRule="auto"/>
              <w:ind w:left="-171"/>
              <w:jc w:val="center"/>
              <w:rPr>
                <w:rFonts w:ascii="宋体" w:hAnsi="宋体"/>
                <w:color w:val="auto"/>
                <w:szCs w:val="21"/>
              </w:rPr>
            </w:pPr>
            <w:r>
              <w:rPr>
                <w:rFonts w:hint="eastAsia" w:ascii="宋体" w:hAnsi="宋体"/>
                <w:color w:val="auto"/>
                <w:szCs w:val="21"/>
              </w:rPr>
              <w:t>见</w:t>
            </w:r>
            <w:r>
              <w:rPr>
                <w:rFonts w:ascii="宋体" w:hAnsi="宋体"/>
                <w:color w:val="auto"/>
                <w:szCs w:val="21"/>
              </w:rPr>
              <w:t>报价文件</w:t>
            </w:r>
          </w:p>
          <w:p>
            <w:pPr>
              <w:spacing w:line="360" w:lineRule="auto"/>
              <w:ind w:left="-171"/>
              <w:jc w:val="center"/>
              <w:rPr>
                <w:rFonts w:ascii="宋体" w:hAnsi="宋体"/>
                <w:color w:val="auto"/>
                <w:szCs w:val="21"/>
              </w:rPr>
            </w:pPr>
            <w:r>
              <w:rPr>
                <w:rFonts w:ascii="宋体" w:hAnsi="宋体"/>
                <w:color w:val="auto"/>
                <w:szCs w:val="21"/>
              </w:rPr>
              <w:t>第</w:t>
            </w:r>
            <w:r>
              <w:rPr>
                <w:rFonts w:hint="eastAsia" w:ascii="宋体" w:hAnsi="宋体"/>
                <w:color w:val="auto"/>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8" w:hRule="atLeast"/>
        </w:trPr>
        <w:tc>
          <w:tcPr>
            <w:tcW w:w="1548" w:type="dxa"/>
            <w:vAlign w:val="center"/>
          </w:tcPr>
          <w:p>
            <w:pPr>
              <w:spacing w:line="360" w:lineRule="auto"/>
              <w:rPr>
                <w:rFonts w:ascii="宋体" w:hAnsi="宋体"/>
                <w:color w:val="auto"/>
                <w:szCs w:val="21"/>
              </w:rPr>
            </w:pPr>
          </w:p>
        </w:tc>
        <w:tc>
          <w:tcPr>
            <w:tcW w:w="6330" w:type="dxa"/>
            <w:vAlign w:val="center"/>
          </w:tcPr>
          <w:p>
            <w:pPr>
              <w:pStyle w:val="21"/>
              <w:spacing w:line="360" w:lineRule="auto"/>
              <w:rPr>
                <w:rFonts w:ascii="宋体" w:hAnsi="宋体"/>
                <w:color w:val="auto"/>
                <w:szCs w:val="21"/>
              </w:rPr>
            </w:pPr>
          </w:p>
        </w:tc>
        <w:tc>
          <w:tcPr>
            <w:tcW w:w="1620" w:type="dxa"/>
            <w:vAlign w:val="center"/>
          </w:tcPr>
          <w:p>
            <w:pPr>
              <w:spacing w:line="360" w:lineRule="auto"/>
              <w:ind w:left="-171"/>
              <w:jc w:val="center"/>
              <w:rPr>
                <w:rFonts w:ascii="宋体" w:hAnsi="宋体"/>
                <w:color w:val="auto"/>
                <w:szCs w:val="21"/>
              </w:rPr>
            </w:pPr>
            <w:r>
              <w:rPr>
                <w:rFonts w:hint="eastAsia" w:ascii="宋体" w:hAnsi="宋体"/>
                <w:color w:val="auto"/>
                <w:szCs w:val="21"/>
              </w:rPr>
              <w:t>见</w:t>
            </w:r>
            <w:r>
              <w:rPr>
                <w:rFonts w:ascii="宋体" w:hAnsi="宋体"/>
                <w:color w:val="auto"/>
                <w:szCs w:val="21"/>
              </w:rPr>
              <w:t>报价文件</w:t>
            </w:r>
          </w:p>
          <w:p>
            <w:pPr>
              <w:spacing w:line="360" w:lineRule="auto"/>
              <w:ind w:left="-171"/>
              <w:jc w:val="center"/>
              <w:rPr>
                <w:rFonts w:ascii="宋体" w:hAnsi="宋体"/>
                <w:color w:val="auto"/>
                <w:szCs w:val="21"/>
              </w:rPr>
            </w:pPr>
            <w:r>
              <w:rPr>
                <w:rFonts w:ascii="宋体" w:hAnsi="宋体"/>
                <w:color w:val="auto"/>
                <w:szCs w:val="21"/>
              </w:rPr>
              <w:t>第</w:t>
            </w:r>
            <w:r>
              <w:rPr>
                <w:rFonts w:hint="eastAsia" w:ascii="宋体" w:hAnsi="宋体"/>
                <w:color w:val="auto"/>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2" w:hRule="atLeast"/>
        </w:trPr>
        <w:tc>
          <w:tcPr>
            <w:tcW w:w="1548" w:type="dxa"/>
            <w:vAlign w:val="center"/>
          </w:tcPr>
          <w:p>
            <w:pPr>
              <w:spacing w:line="360" w:lineRule="auto"/>
              <w:rPr>
                <w:rFonts w:ascii="宋体" w:hAnsi="宋体"/>
                <w:color w:val="auto"/>
                <w:szCs w:val="21"/>
              </w:rPr>
            </w:pPr>
          </w:p>
        </w:tc>
        <w:tc>
          <w:tcPr>
            <w:tcW w:w="6330" w:type="dxa"/>
            <w:vAlign w:val="center"/>
          </w:tcPr>
          <w:p>
            <w:pPr>
              <w:pStyle w:val="21"/>
              <w:spacing w:line="360" w:lineRule="auto"/>
              <w:rPr>
                <w:rFonts w:ascii="宋体" w:hAnsi="宋体"/>
                <w:color w:val="auto"/>
                <w:szCs w:val="21"/>
              </w:rPr>
            </w:pPr>
          </w:p>
        </w:tc>
        <w:tc>
          <w:tcPr>
            <w:tcW w:w="1620" w:type="dxa"/>
            <w:vAlign w:val="center"/>
          </w:tcPr>
          <w:p>
            <w:pPr>
              <w:spacing w:line="360" w:lineRule="auto"/>
              <w:ind w:left="-171"/>
              <w:jc w:val="center"/>
              <w:rPr>
                <w:rFonts w:ascii="宋体" w:hAnsi="宋体"/>
                <w:color w:val="auto"/>
                <w:szCs w:val="21"/>
              </w:rPr>
            </w:pPr>
            <w:r>
              <w:rPr>
                <w:rFonts w:hint="eastAsia" w:ascii="宋体" w:hAnsi="宋体"/>
                <w:color w:val="auto"/>
                <w:szCs w:val="21"/>
              </w:rPr>
              <w:t>见</w:t>
            </w:r>
            <w:r>
              <w:rPr>
                <w:rFonts w:ascii="宋体" w:hAnsi="宋体"/>
                <w:color w:val="auto"/>
                <w:szCs w:val="21"/>
              </w:rPr>
              <w:t>报价文件</w:t>
            </w:r>
          </w:p>
          <w:p>
            <w:pPr>
              <w:spacing w:line="360" w:lineRule="auto"/>
              <w:ind w:left="-171"/>
              <w:jc w:val="center"/>
              <w:rPr>
                <w:rFonts w:ascii="宋体" w:hAnsi="宋体"/>
                <w:color w:val="auto"/>
                <w:szCs w:val="21"/>
              </w:rPr>
            </w:pPr>
            <w:r>
              <w:rPr>
                <w:rFonts w:ascii="宋体" w:hAnsi="宋体"/>
                <w:color w:val="auto"/>
                <w:szCs w:val="21"/>
              </w:rPr>
              <w:t>第</w:t>
            </w:r>
            <w:r>
              <w:rPr>
                <w:rFonts w:hint="eastAsia" w:ascii="宋体" w:hAnsi="宋体"/>
                <w:color w:val="auto"/>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7" w:hRule="atLeast"/>
        </w:trPr>
        <w:tc>
          <w:tcPr>
            <w:tcW w:w="1548" w:type="dxa"/>
            <w:vAlign w:val="center"/>
          </w:tcPr>
          <w:p>
            <w:pPr>
              <w:spacing w:line="360" w:lineRule="auto"/>
              <w:rPr>
                <w:rFonts w:ascii="宋体" w:hAnsi="宋体"/>
                <w:color w:val="auto"/>
                <w:szCs w:val="21"/>
              </w:rPr>
            </w:pPr>
          </w:p>
        </w:tc>
        <w:tc>
          <w:tcPr>
            <w:tcW w:w="6330" w:type="dxa"/>
            <w:vAlign w:val="center"/>
          </w:tcPr>
          <w:p>
            <w:pPr>
              <w:pStyle w:val="21"/>
              <w:spacing w:line="360" w:lineRule="auto"/>
              <w:rPr>
                <w:rFonts w:ascii="宋体" w:hAnsi="宋体"/>
                <w:color w:val="auto"/>
                <w:szCs w:val="21"/>
              </w:rPr>
            </w:pPr>
          </w:p>
        </w:tc>
        <w:tc>
          <w:tcPr>
            <w:tcW w:w="1620" w:type="dxa"/>
            <w:vAlign w:val="center"/>
          </w:tcPr>
          <w:p>
            <w:pPr>
              <w:spacing w:line="360" w:lineRule="auto"/>
              <w:ind w:left="-171"/>
              <w:jc w:val="center"/>
              <w:rPr>
                <w:rFonts w:ascii="宋体" w:hAnsi="宋体"/>
                <w:color w:val="auto"/>
                <w:szCs w:val="21"/>
              </w:rPr>
            </w:pPr>
            <w:r>
              <w:rPr>
                <w:rFonts w:hint="eastAsia" w:ascii="宋体" w:hAnsi="宋体"/>
                <w:color w:val="auto"/>
                <w:szCs w:val="21"/>
              </w:rPr>
              <w:t>见</w:t>
            </w:r>
            <w:r>
              <w:rPr>
                <w:rFonts w:ascii="宋体" w:hAnsi="宋体"/>
                <w:color w:val="auto"/>
                <w:szCs w:val="21"/>
              </w:rPr>
              <w:t>报价文件</w:t>
            </w:r>
          </w:p>
          <w:p>
            <w:pPr>
              <w:spacing w:line="360" w:lineRule="auto"/>
              <w:ind w:left="-170" w:leftChars="-81" w:firstLine="420" w:firstLineChars="200"/>
              <w:rPr>
                <w:rFonts w:ascii="宋体" w:hAnsi="宋体"/>
                <w:color w:val="auto"/>
                <w:szCs w:val="21"/>
              </w:rPr>
            </w:pPr>
            <w:r>
              <w:rPr>
                <w:rFonts w:ascii="宋体" w:hAnsi="宋体"/>
                <w:color w:val="auto"/>
                <w:szCs w:val="21"/>
              </w:rPr>
              <w:t>第</w:t>
            </w:r>
            <w:r>
              <w:rPr>
                <w:rFonts w:hint="eastAsia" w:ascii="宋体" w:hAnsi="宋体"/>
                <w:color w:val="auto"/>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trPr>
        <w:tc>
          <w:tcPr>
            <w:tcW w:w="1548" w:type="dxa"/>
            <w:vAlign w:val="center"/>
          </w:tcPr>
          <w:p>
            <w:pPr>
              <w:spacing w:line="360" w:lineRule="auto"/>
              <w:jc w:val="center"/>
              <w:rPr>
                <w:rFonts w:ascii="宋体" w:hAnsi="宋体"/>
                <w:color w:val="auto"/>
                <w:szCs w:val="21"/>
              </w:rPr>
            </w:pPr>
          </w:p>
        </w:tc>
        <w:tc>
          <w:tcPr>
            <w:tcW w:w="6330" w:type="dxa"/>
            <w:vAlign w:val="center"/>
          </w:tcPr>
          <w:p>
            <w:pPr>
              <w:pStyle w:val="21"/>
              <w:spacing w:line="360" w:lineRule="auto"/>
              <w:rPr>
                <w:rFonts w:ascii="宋体" w:hAnsi="宋体"/>
                <w:color w:val="auto"/>
                <w:szCs w:val="21"/>
              </w:rPr>
            </w:pPr>
          </w:p>
        </w:tc>
        <w:tc>
          <w:tcPr>
            <w:tcW w:w="1620" w:type="dxa"/>
            <w:vAlign w:val="center"/>
          </w:tcPr>
          <w:p>
            <w:pPr>
              <w:spacing w:line="360" w:lineRule="auto"/>
              <w:ind w:left="-171"/>
              <w:jc w:val="center"/>
              <w:rPr>
                <w:rFonts w:ascii="宋体" w:hAnsi="宋体"/>
                <w:color w:val="auto"/>
                <w:szCs w:val="21"/>
              </w:rPr>
            </w:pPr>
            <w:r>
              <w:rPr>
                <w:rFonts w:hint="eastAsia" w:ascii="宋体" w:hAnsi="宋体"/>
                <w:color w:val="auto"/>
                <w:szCs w:val="21"/>
              </w:rPr>
              <w:t>见</w:t>
            </w:r>
            <w:r>
              <w:rPr>
                <w:rFonts w:ascii="宋体" w:hAnsi="宋体"/>
                <w:color w:val="auto"/>
                <w:szCs w:val="21"/>
              </w:rPr>
              <w:t>报价文件</w:t>
            </w:r>
          </w:p>
          <w:p>
            <w:pPr>
              <w:spacing w:line="360" w:lineRule="auto"/>
              <w:ind w:left="-171"/>
              <w:jc w:val="center"/>
              <w:rPr>
                <w:rFonts w:ascii="宋体" w:hAnsi="宋体"/>
                <w:color w:val="auto"/>
                <w:szCs w:val="21"/>
              </w:rPr>
            </w:pPr>
            <w:r>
              <w:rPr>
                <w:rFonts w:ascii="宋体" w:hAnsi="宋体"/>
                <w:color w:val="auto"/>
                <w:szCs w:val="21"/>
              </w:rPr>
              <w:t>第</w:t>
            </w:r>
            <w:r>
              <w:rPr>
                <w:rFonts w:hint="eastAsia" w:ascii="宋体" w:hAnsi="宋体"/>
                <w:color w:val="auto"/>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4" w:hRule="atLeast"/>
        </w:trPr>
        <w:tc>
          <w:tcPr>
            <w:tcW w:w="1548" w:type="dxa"/>
            <w:vAlign w:val="center"/>
          </w:tcPr>
          <w:p>
            <w:pPr>
              <w:spacing w:line="360" w:lineRule="auto"/>
              <w:rPr>
                <w:rFonts w:ascii="宋体" w:hAnsi="宋体"/>
                <w:color w:val="auto"/>
                <w:szCs w:val="21"/>
              </w:rPr>
            </w:pPr>
          </w:p>
        </w:tc>
        <w:tc>
          <w:tcPr>
            <w:tcW w:w="6330" w:type="dxa"/>
            <w:vAlign w:val="center"/>
          </w:tcPr>
          <w:p>
            <w:pPr>
              <w:spacing w:line="360" w:lineRule="auto"/>
              <w:rPr>
                <w:rFonts w:ascii="宋体" w:hAnsi="宋体"/>
                <w:color w:val="auto"/>
                <w:szCs w:val="21"/>
              </w:rPr>
            </w:pPr>
          </w:p>
        </w:tc>
        <w:tc>
          <w:tcPr>
            <w:tcW w:w="1620" w:type="dxa"/>
            <w:vAlign w:val="center"/>
          </w:tcPr>
          <w:p>
            <w:pPr>
              <w:spacing w:line="360" w:lineRule="auto"/>
              <w:ind w:left="-171"/>
              <w:jc w:val="center"/>
              <w:rPr>
                <w:rFonts w:ascii="宋体" w:hAnsi="宋体"/>
                <w:color w:val="auto"/>
                <w:szCs w:val="21"/>
              </w:rPr>
            </w:pPr>
            <w:r>
              <w:rPr>
                <w:rFonts w:hint="eastAsia" w:ascii="宋体" w:hAnsi="宋体"/>
                <w:color w:val="auto"/>
                <w:szCs w:val="21"/>
              </w:rPr>
              <w:t>见</w:t>
            </w:r>
            <w:r>
              <w:rPr>
                <w:rFonts w:ascii="宋体" w:hAnsi="宋体"/>
                <w:color w:val="auto"/>
                <w:szCs w:val="21"/>
              </w:rPr>
              <w:t>报价文件</w:t>
            </w:r>
          </w:p>
          <w:p>
            <w:pPr>
              <w:spacing w:line="360" w:lineRule="auto"/>
              <w:ind w:left="-171"/>
              <w:jc w:val="center"/>
              <w:rPr>
                <w:rFonts w:ascii="宋体" w:hAnsi="宋体"/>
                <w:color w:val="auto"/>
                <w:szCs w:val="21"/>
              </w:rPr>
            </w:pPr>
            <w:r>
              <w:rPr>
                <w:rFonts w:ascii="宋体" w:hAnsi="宋体"/>
                <w:color w:val="auto"/>
                <w:szCs w:val="21"/>
              </w:rPr>
              <w:t>第</w:t>
            </w:r>
            <w:r>
              <w:rPr>
                <w:rFonts w:hint="eastAsia" w:ascii="宋体" w:hAnsi="宋体"/>
                <w:color w:val="auto"/>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4" w:hRule="atLeast"/>
        </w:trPr>
        <w:tc>
          <w:tcPr>
            <w:tcW w:w="1548" w:type="dxa"/>
            <w:vAlign w:val="center"/>
          </w:tcPr>
          <w:p>
            <w:pPr>
              <w:pStyle w:val="21"/>
              <w:spacing w:line="360" w:lineRule="auto"/>
              <w:jc w:val="center"/>
              <w:rPr>
                <w:rFonts w:ascii="宋体" w:hAnsi="宋体"/>
                <w:color w:val="auto"/>
                <w:szCs w:val="21"/>
              </w:rPr>
            </w:pPr>
          </w:p>
        </w:tc>
        <w:tc>
          <w:tcPr>
            <w:tcW w:w="6330" w:type="dxa"/>
            <w:vAlign w:val="center"/>
          </w:tcPr>
          <w:p>
            <w:pPr>
              <w:spacing w:line="360" w:lineRule="auto"/>
              <w:rPr>
                <w:rFonts w:ascii="宋体" w:hAnsi="宋体"/>
                <w:color w:val="auto"/>
                <w:szCs w:val="21"/>
              </w:rPr>
            </w:pPr>
          </w:p>
        </w:tc>
        <w:tc>
          <w:tcPr>
            <w:tcW w:w="1620" w:type="dxa"/>
            <w:vAlign w:val="center"/>
          </w:tcPr>
          <w:p>
            <w:pPr>
              <w:spacing w:line="360" w:lineRule="auto"/>
              <w:ind w:left="-171"/>
              <w:jc w:val="center"/>
              <w:rPr>
                <w:rFonts w:ascii="宋体" w:hAnsi="宋体"/>
                <w:color w:val="auto"/>
                <w:szCs w:val="21"/>
              </w:rPr>
            </w:pPr>
            <w:r>
              <w:rPr>
                <w:rFonts w:hint="eastAsia" w:ascii="宋体" w:hAnsi="宋体"/>
                <w:color w:val="auto"/>
                <w:szCs w:val="21"/>
              </w:rPr>
              <w:t>见</w:t>
            </w:r>
            <w:r>
              <w:rPr>
                <w:rFonts w:ascii="宋体" w:hAnsi="宋体"/>
                <w:color w:val="auto"/>
                <w:szCs w:val="21"/>
              </w:rPr>
              <w:t>报价文件</w:t>
            </w:r>
          </w:p>
          <w:p>
            <w:pPr>
              <w:spacing w:line="360" w:lineRule="auto"/>
              <w:ind w:left="-171"/>
              <w:jc w:val="center"/>
              <w:rPr>
                <w:rFonts w:ascii="宋体" w:hAnsi="宋体"/>
                <w:color w:val="auto"/>
                <w:szCs w:val="21"/>
              </w:rPr>
            </w:pPr>
            <w:r>
              <w:rPr>
                <w:rFonts w:ascii="宋体" w:hAnsi="宋体"/>
                <w:color w:val="auto"/>
                <w:szCs w:val="21"/>
              </w:rPr>
              <w:t>第</w:t>
            </w:r>
            <w:r>
              <w:rPr>
                <w:rFonts w:hint="eastAsia" w:ascii="宋体" w:hAnsi="宋体"/>
                <w:color w:val="auto"/>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2" w:hRule="atLeast"/>
        </w:trPr>
        <w:tc>
          <w:tcPr>
            <w:tcW w:w="1548" w:type="dxa"/>
            <w:vAlign w:val="center"/>
          </w:tcPr>
          <w:p>
            <w:pPr>
              <w:spacing w:line="360" w:lineRule="auto"/>
              <w:jc w:val="center"/>
              <w:rPr>
                <w:rFonts w:ascii="宋体" w:hAnsi="宋体"/>
                <w:color w:val="auto"/>
                <w:szCs w:val="21"/>
              </w:rPr>
            </w:pPr>
          </w:p>
        </w:tc>
        <w:tc>
          <w:tcPr>
            <w:tcW w:w="6330" w:type="dxa"/>
            <w:vAlign w:val="center"/>
          </w:tcPr>
          <w:p>
            <w:pPr>
              <w:spacing w:line="360" w:lineRule="auto"/>
              <w:rPr>
                <w:rFonts w:ascii="宋体" w:hAnsi="宋体"/>
                <w:color w:val="auto"/>
                <w:szCs w:val="21"/>
              </w:rPr>
            </w:pPr>
          </w:p>
        </w:tc>
        <w:tc>
          <w:tcPr>
            <w:tcW w:w="1620" w:type="dxa"/>
            <w:vAlign w:val="center"/>
          </w:tcPr>
          <w:p>
            <w:pPr>
              <w:spacing w:line="360" w:lineRule="auto"/>
              <w:ind w:left="-171"/>
              <w:jc w:val="center"/>
              <w:rPr>
                <w:rFonts w:ascii="宋体" w:hAnsi="宋体"/>
                <w:color w:val="auto"/>
                <w:szCs w:val="21"/>
              </w:rPr>
            </w:pPr>
            <w:r>
              <w:rPr>
                <w:rFonts w:hint="eastAsia" w:ascii="宋体" w:hAnsi="宋体"/>
                <w:color w:val="auto"/>
                <w:szCs w:val="21"/>
              </w:rPr>
              <w:t>见</w:t>
            </w:r>
            <w:r>
              <w:rPr>
                <w:rFonts w:ascii="宋体" w:hAnsi="宋体"/>
                <w:color w:val="auto"/>
                <w:szCs w:val="21"/>
              </w:rPr>
              <w:t>报价文件</w:t>
            </w:r>
          </w:p>
          <w:p>
            <w:pPr>
              <w:spacing w:line="360" w:lineRule="auto"/>
              <w:ind w:left="-171"/>
              <w:jc w:val="center"/>
              <w:rPr>
                <w:rFonts w:ascii="宋体" w:hAnsi="宋体"/>
                <w:color w:val="auto"/>
                <w:szCs w:val="21"/>
              </w:rPr>
            </w:pPr>
            <w:r>
              <w:rPr>
                <w:rFonts w:ascii="宋体" w:hAnsi="宋体"/>
                <w:color w:val="auto"/>
                <w:szCs w:val="21"/>
              </w:rPr>
              <w:t>第</w:t>
            </w:r>
            <w:r>
              <w:rPr>
                <w:rFonts w:hint="eastAsia" w:ascii="宋体" w:hAnsi="宋体"/>
                <w:color w:val="auto"/>
                <w:szCs w:val="21"/>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0" w:hRule="atLeast"/>
        </w:trPr>
        <w:tc>
          <w:tcPr>
            <w:tcW w:w="9498" w:type="dxa"/>
            <w:gridSpan w:val="3"/>
            <w:vAlign w:val="center"/>
          </w:tcPr>
          <w:p>
            <w:pPr>
              <w:spacing w:line="360" w:lineRule="auto"/>
              <w:ind w:left="-65" w:leftChars="-31"/>
              <w:rPr>
                <w:rFonts w:ascii="宋体" w:hAnsi="宋体"/>
                <w:color w:val="auto"/>
                <w:szCs w:val="21"/>
              </w:rPr>
            </w:pPr>
            <w:r>
              <w:rPr>
                <w:rFonts w:hint="eastAsia" w:ascii="宋体" w:hAnsi="宋体"/>
                <w:color w:val="auto"/>
                <w:szCs w:val="21"/>
              </w:rPr>
              <w:t>注：报价人应分别结合磋商文件第二部分报价人须知中《服务商务打分表》的内容，列出评审分项在报价文件所在位置，以便查对。</w:t>
            </w:r>
          </w:p>
        </w:tc>
      </w:tr>
    </w:tbl>
    <w:p>
      <w:pPr>
        <w:pStyle w:val="3"/>
        <w:numPr>
          <w:ilvl w:val="0"/>
          <w:numId w:val="0"/>
        </w:numPr>
        <w:tabs>
          <w:tab w:val="left" w:pos="630"/>
        </w:tabs>
        <w:spacing w:before="360" w:after="120"/>
        <w:rPr>
          <w:rFonts w:hAnsi="宋体"/>
          <w:color w:val="auto"/>
          <w:sz w:val="21"/>
          <w:szCs w:val="21"/>
        </w:rPr>
      </w:pPr>
    </w:p>
    <w:p>
      <w:pPr>
        <w:adjustRightInd w:val="0"/>
        <w:snapToGrid w:val="0"/>
        <w:spacing w:line="360" w:lineRule="auto"/>
        <w:rPr>
          <w:rFonts w:ascii="宋体" w:hAnsi="宋体"/>
          <w:color w:val="auto"/>
          <w:szCs w:val="21"/>
          <w:u w:val="single"/>
        </w:rPr>
      </w:pPr>
      <w:r>
        <w:rPr>
          <w:rFonts w:hint="eastAsia" w:ascii="宋体" w:hAnsi="宋体"/>
          <w:color w:val="auto"/>
          <w:szCs w:val="21"/>
        </w:rPr>
        <w:t>报价人法定代表人（或法定代表人授权代表）签字：</w:t>
      </w:r>
      <w:r>
        <w:rPr>
          <w:rFonts w:hint="eastAsia" w:ascii="宋体" w:hAnsi="宋体"/>
          <w:color w:val="auto"/>
          <w:szCs w:val="21"/>
          <w:u w:val="single"/>
        </w:rPr>
        <w:t xml:space="preserve">                   </w:t>
      </w:r>
    </w:p>
    <w:p>
      <w:pPr>
        <w:adjustRightInd w:val="0"/>
        <w:snapToGrid w:val="0"/>
        <w:spacing w:line="360" w:lineRule="auto"/>
        <w:rPr>
          <w:rFonts w:ascii="宋体" w:hAnsi="宋体"/>
          <w:color w:val="auto"/>
          <w:szCs w:val="21"/>
          <w:u w:val="single"/>
        </w:rPr>
      </w:pPr>
      <w:r>
        <w:rPr>
          <w:rFonts w:hint="eastAsia" w:ascii="宋体" w:hAnsi="宋体"/>
          <w:color w:val="auto"/>
          <w:szCs w:val="21"/>
        </w:rPr>
        <w:t>报价人名称（签章）：</w:t>
      </w:r>
      <w:r>
        <w:rPr>
          <w:rFonts w:hint="eastAsia" w:ascii="宋体" w:hAnsi="宋体"/>
          <w:color w:val="auto"/>
          <w:szCs w:val="21"/>
          <w:u w:val="single"/>
        </w:rPr>
        <w:t xml:space="preserve">                        </w:t>
      </w:r>
    </w:p>
    <w:p>
      <w:pPr>
        <w:adjustRightInd w:val="0"/>
        <w:snapToGrid w:val="0"/>
        <w:spacing w:line="360" w:lineRule="auto"/>
        <w:rPr>
          <w:rFonts w:ascii="宋体" w:hAnsi="宋体"/>
          <w:color w:val="auto"/>
          <w:szCs w:val="21"/>
          <w:u w:val="single"/>
        </w:rPr>
      </w:pPr>
      <w:r>
        <w:rPr>
          <w:rFonts w:hint="eastAsia" w:ascii="宋体" w:hAnsi="宋体"/>
          <w:color w:val="auto"/>
          <w:szCs w:val="21"/>
        </w:rPr>
        <w:t>日期：   年   月   日</w:t>
      </w:r>
    </w:p>
    <w:p>
      <w:pPr>
        <w:tabs>
          <w:tab w:val="left" w:pos="800"/>
          <w:tab w:val="left" w:pos="1000"/>
        </w:tabs>
        <w:spacing w:line="360" w:lineRule="auto"/>
        <w:jc w:val="both"/>
        <w:rPr>
          <w:color w:val="auto"/>
        </w:rPr>
      </w:pPr>
      <w:r>
        <w:rPr>
          <w:color w:val="auto"/>
        </w:rPr>
        <w:br w:type="page"/>
      </w: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bookmarkStart w:id="21" w:name="_Hlt10519799"/>
      <w:bookmarkEnd w:id="21"/>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rPr>
          <w:color w:val="auto"/>
          <w:sz w:val="36"/>
        </w:rPr>
      </w:pPr>
    </w:p>
    <w:p>
      <w:pPr>
        <w:pStyle w:val="14"/>
        <w:spacing w:line="480" w:lineRule="exact"/>
        <w:jc w:val="center"/>
        <w:outlineLvl w:val="0"/>
        <w:rPr>
          <w:b/>
          <w:color w:val="auto"/>
          <w:sz w:val="36"/>
        </w:rPr>
      </w:pPr>
      <w:r>
        <w:rPr>
          <w:rFonts w:hint="eastAsia"/>
          <w:b/>
          <w:color w:val="auto"/>
          <w:sz w:val="36"/>
          <w:lang w:eastAsia="zh-CN"/>
        </w:rPr>
        <w:t>一</w:t>
      </w:r>
      <w:r>
        <w:rPr>
          <w:rFonts w:hint="eastAsia"/>
          <w:b/>
          <w:color w:val="auto"/>
          <w:sz w:val="36"/>
        </w:rPr>
        <w:t>、商 务 响 应</w:t>
      </w:r>
    </w:p>
    <w:p>
      <w:pPr>
        <w:pStyle w:val="14"/>
        <w:spacing w:line="480" w:lineRule="exact"/>
        <w:jc w:val="center"/>
        <w:rPr>
          <w:b/>
          <w:color w:val="auto"/>
          <w:sz w:val="36"/>
        </w:rPr>
      </w:pPr>
    </w:p>
    <w:p>
      <w:pPr>
        <w:pStyle w:val="2"/>
        <w:spacing w:line="480" w:lineRule="exact"/>
        <w:rPr>
          <w:color w:val="auto"/>
          <w:sz w:val="32"/>
          <w:szCs w:val="32"/>
        </w:rPr>
      </w:pPr>
      <w:r>
        <w:rPr>
          <w:color w:val="auto"/>
        </w:rPr>
        <w:br w:type="page"/>
      </w:r>
      <w:bookmarkStart w:id="22" w:name="_Hlt10519541"/>
      <w:bookmarkEnd w:id="22"/>
      <w:bookmarkStart w:id="23" w:name="_Toc42951052"/>
      <w:bookmarkStart w:id="24" w:name="_Hlt10456257"/>
      <w:r>
        <w:rPr>
          <w:rFonts w:hint="eastAsia"/>
          <w:color w:val="auto"/>
          <w:sz w:val="32"/>
          <w:szCs w:val="32"/>
          <w:lang w:val="en-US" w:eastAsia="zh-CN"/>
        </w:rPr>
        <w:t>1</w:t>
      </w:r>
      <w:r>
        <w:rPr>
          <w:rFonts w:hint="eastAsia"/>
          <w:color w:val="auto"/>
          <w:sz w:val="32"/>
          <w:szCs w:val="32"/>
        </w:rPr>
        <w:t>．报价函格式</w:t>
      </w:r>
      <w:bookmarkEnd w:id="23"/>
    </w:p>
    <w:bookmarkEnd w:id="24"/>
    <w:p>
      <w:pPr>
        <w:spacing w:line="480" w:lineRule="exact"/>
        <w:jc w:val="center"/>
        <w:rPr>
          <w:rFonts w:ascii="宋体"/>
          <w:b/>
          <w:color w:val="auto"/>
          <w:sz w:val="32"/>
        </w:rPr>
      </w:pPr>
      <w:r>
        <w:rPr>
          <w:rFonts w:hint="eastAsia" w:ascii="宋体"/>
          <w:b/>
          <w:color w:val="auto"/>
          <w:sz w:val="32"/>
        </w:rPr>
        <w:t>报 价 函</w:t>
      </w:r>
    </w:p>
    <w:p>
      <w:pPr>
        <w:spacing w:line="480" w:lineRule="exact"/>
        <w:rPr>
          <w:rFonts w:ascii="宋体"/>
          <w:b/>
          <w:color w:val="auto"/>
          <w:sz w:val="24"/>
        </w:rPr>
      </w:pPr>
      <w:r>
        <w:rPr>
          <w:rFonts w:hint="eastAsia" w:ascii="宋体"/>
          <w:b/>
          <w:color w:val="auto"/>
          <w:sz w:val="24"/>
        </w:rPr>
        <w:t>致:广东晓君招标采购代理有限公司</w:t>
      </w:r>
    </w:p>
    <w:p>
      <w:pPr>
        <w:spacing w:line="480" w:lineRule="exact"/>
        <w:rPr>
          <w:rFonts w:ascii="宋体"/>
          <w:color w:val="auto"/>
        </w:rPr>
      </w:pPr>
      <w:r>
        <w:rPr>
          <w:rFonts w:hint="eastAsia" w:ascii="宋体"/>
          <w:color w:val="auto"/>
        </w:rPr>
        <w:t xml:space="preserve">     我方确认收到贵方提供的</w:t>
      </w:r>
      <w:r>
        <w:rPr>
          <w:rFonts w:ascii="宋体" w:hAnsi="宋体"/>
          <w:color w:val="auto"/>
          <w:kern w:val="28"/>
          <w:u w:val="single"/>
        </w:rPr>
        <w:t xml:space="preserve">  </w:t>
      </w:r>
      <w:r>
        <w:rPr>
          <w:rFonts w:hint="eastAsia" w:ascii="宋体" w:hAnsi="宋体"/>
          <w:color w:val="auto"/>
          <w:kern w:val="28"/>
          <w:u w:val="single"/>
        </w:rPr>
        <w:t xml:space="preserve">（项目名称）     </w:t>
      </w:r>
      <w:r>
        <w:rPr>
          <w:rFonts w:ascii="宋体" w:hAnsi="宋体"/>
          <w:color w:val="auto"/>
          <w:kern w:val="28"/>
          <w:u w:val="single"/>
        </w:rPr>
        <w:t xml:space="preserve"> </w:t>
      </w:r>
      <w:r>
        <w:rPr>
          <w:rFonts w:hint="eastAsia" w:ascii="宋体" w:hAnsi="宋体"/>
          <w:color w:val="auto"/>
          <w:kern w:val="28"/>
          <w:u w:val="single"/>
        </w:rPr>
        <w:t>_</w:t>
      </w:r>
      <w:r>
        <w:rPr>
          <w:rFonts w:ascii="宋体" w:hAnsi="宋体"/>
          <w:color w:val="auto"/>
          <w:kern w:val="28"/>
          <w:u w:val="single"/>
        </w:rPr>
        <w:t xml:space="preserve"> </w:t>
      </w:r>
      <w:r>
        <w:rPr>
          <w:rFonts w:hint="eastAsia" w:ascii="宋体"/>
          <w:color w:val="auto"/>
        </w:rPr>
        <w:t>货物及服务的磋商文件的全部内容，我方：__</w:t>
      </w:r>
      <w:r>
        <w:rPr>
          <w:rFonts w:hint="eastAsia" w:ascii="宋体"/>
          <w:color w:val="auto"/>
          <w:u w:val="single"/>
        </w:rPr>
        <w:t xml:space="preserve">                 _ </w:t>
      </w:r>
      <w:r>
        <w:rPr>
          <w:rFonts w:hint="eastAsia" w:ascii="宋体"/>
          <w:color w:val="auto"/>
        </w:rPr>
        <w:t xml:space="preserve"> (报价人名称)作为报价者正式授权</w:t>
      </w:r>
      <w:r>
        <w:rPr>
          <w:rFonts w:hint="eastAsia" w:ascii="宋体"/>
          <w:color w:val="auto"/>
          <w:u w:val="single"/>
        </w:rPr>
        <w:t xml:space="preserve">                           </w:t>
      </w:r>
      <w:r>
        <w:rPr>
          <w:rFonts w:hint="eastAsia" w:ascii="宋体"/>
          <w:color w:val="auto"/>
        </w:rPr>
        <w:t>(授权代表全名, 职务)代表我方进行有关本磋商的一切事宜。</w:t>
      </w:r>
    </w:p>
    <w:p>
      <w:pPr>
        <w:spacing w:line="480" w:lineRule="exact"/>
        <w:rPr>
          <w:rFonts w:ascii="宋体"/>
          <w:color w:val="auto"/>
        </w:rPr>
      </w:pPr>
      <w:r>
        <w:rPr>
          <w:rFonts w:hint="eastAsia" w:ascii="宋体"/>
          <w:color w:val="auto"/>
        </w:rPr>
        <w:t xml:space="preserve">    在此提交的报价文件, 正本一份, 副本</w:t>
      </w:r>
      <w:r>
        <w:rPr>
          <w:rFonts w:hint="eastAsia" w:ascii="宋体"/>
          <w:color w:val="auto"/>
          <w:u w:val="single"/>
        </w:rPr>
        <w:t xml:space="preserve">     </w:t>
      </w:r>
      <w:r>
        <w:rPr>
          <w:rFonts w:hint="eastAsia" w:ascii="宋体"/>
          <w:color w:val="auto"/>
        </w:rPr>
        <w:t>份，报价文件包括如下等内容:</w:t>
      </w:r>
    </w:p>
    <w:p>
      <w:pPr>
        <w:pStyle w:val="14"/>
        <w:spacing w:line="480" w:lineRule="exact"/>
        <w:rPr>
          <w:color w:val="auto"/>
        </w:rPr>
      </w:pPr>
      <w:r>
        <w:rPr>
          <w:rFonts w:hint="eastAsia"/>
          <w:color w:val="auto"/>
          <w:lang w:eastAsia="zh-CN"/>
        </w:rPr>
        <w:t>一</w:t>
      </w:r>
      <w:r>
        <w:rPr>
          <w:rFonts w:hint="eastAsia"/>
          <w:color w:val="auto"/>
        </w:rPr>
        <w:t>、 报价文件第</w:t>
      </w:r>
      <w:r>
        <w:rPr>
          <w:rFonts w:hint="eastAsia"/>
          <w:color w:val="auto"/>
          <w:lang w:eastAsia="zh-CN"/>
        </w:rPr>
        <w:t>一</w:t>
      </w:r>
      <w:r>
        <w:rPr>
          <w:rFonts w:hint="eastAsia"/>
          <w:color w:val="auto"/>
        </w:rPr>
        <w:t>部分</w:t>
      </w:r>
    </w:p>
    <w:p>
      <w:pPr>
        <w:pStyle w:val="14"/>
        <w:spacing w:line="480" w:lineRule="exact"/>
        <w:rPr>
          <w:color w:val="auto"/>
        </w:rPr>
      </w:pPr>
      <w:r>
        <w:rPr>
          <w:rFonts w:hint="eastAsia"/>
          <w:color w:val="auto"/>
        </w:rPr>
        <w:t>（一）报价函；</w:t>
      </w:r>
    </w:p>
    <w:p>
      <w:pPr>
        <w:pStyle w:val="14"/>
        <w:spacing w:line="480" w:lineRule="exact"/>
        <w:rPr>
          <w:color w:val="auto"/>
        </w:rPr>
      </w:pPr>
      <w:r>
        <w:rPr>
          <w:rFonts w:hint="eastAsia"/>
          <w:color w:val="auto"/>
        </w:rPr>
        <w:t>（二）授权书；</w:t>
      </w:r>
    </w:p>
    <w:p>
      <w:pPr>
        <w:pStyle w:val="14"/>
        <w:spacing w:line="480" w:lineRule="exact"/>
        <w:rPr>
          <w:color w:val="auto"/>
        </w:rPr>
      </w:pPr>
      <w:r>
        <w:rPr>
          <w:rFonts w:hint="eastAsia"/>
          <w:color w:val="auto"/>
        </w:rPr>
        <w:t>（三）资格证明文件；</w:t>
      </w:r>
    </w:p>
    <w:p>
      <w:pPr>
        <w:pStyle w:val="14"/>
        <w:spacing w:line="480" w:lineRule="exact"/>
        <w:rPr>
          <w:b/>
          <w:color w:val="auto"/>
        </w:rPr>
      </w:pPr>
      <w:r>
        <w:rPr>
          <w:rFonts w:hint="eastAsia"/>
          <w:color w:val="auto"/>
        </w:rPr>
        <w:t>（四）报价保证金金额为：</w:t>
      </w:r>
      <w:r>
        <w:rPr>
          <w:rFonts w:hint="eastAsia"/>
          <w:color w:val="auto"/>
          <w:u w:val="single"/>
        </w:rPr>
        <w:t xml:space="preserve">             </w:t>
      </w:r>
      <w:r>
        <w:rPr>
          <w:rFonts w:hint="eastAsia"/>
          <w:color w:val="auto"/>
        </w:rPr>
        <w:t>（注明币种及金额大、小写）</w:t>
      </w:r>
      <w:r>
        <w:rPr>
          <w:rFonts w:hint="eastAsia"/>
          <w:color w:val="auto"/>
          <w:u w:val="single"/>
        </w:rPr>
        <w:t xml:space="preserve">                    </w:t>
      </w:r>
      <w:r>
        <w:rPr>
          <w:rFonts w:hint="eastAsia"/>
          <w:color w:val="auto"/>
        </w:rPr>
        <w:t xml:space="preserve"> </w:t>
      </w:r>
      <w:r>
        <w:rPr>
          <w:rFonts w:hint="eastAsia"/>
          <w:b/>
          <w:color w:val="auto"/>
        </w:rPr>
        <w:t>；</w:t>
      </w:r>
    </w:p>
    <w:p>
      <w:pPr>
        <w:pStyle w:val="14"/>
        <w:spacing w:line="480" w:lineRule="exact"/>
        <w:rPr>
          <w:color w:val="auto"/>
        </w:rPr>
      </w:pPr>
      <w:r>
        <w:rPr>
          <w:rFonts w:hint="eastAsia"/>
          <w:color w:val="auto"/>
        </w:rPr>
        <w:t>（五）商务响应表及差异表；</w:t>
      </w:r>
    </w:p>
    <w:p>
      <w:pPr>
        <w:pStyle w:val="14"/>
        <w:spacing w:line="480" w:lineRule="exact"/>
        <w:rPr>
          <w:color w:val="auto"/>
        </w:rPr>
      </w:pPr>
      <w:r>
        <w:rPr>
          <w:rFonts w:hint="eastAsia"/>
          <w:color w:val="auto"/>
        </w:rPr>
        <w:t>（六）按磋商文件报价人须知的要求提供的报价文件格式的其它有关文件。</w:t>
      </w:r>
    </w:p>
    <w:p>
      <w:pPr>
        <w:pStyle w:val="14"/>
        <w:spacing w:line="480" w:lineRule="exact"/>
        <w:rPr>
          <w:color w:val="auto"/>
        </w:rPr>
      </w:pPr>
      <w:r>
        <w:rPr>
          <w:rFonts w:hint="eastAsia"/>
          <w:color w:val="auto"/>
        </w:rPr>
        <w:t>三、 报价文件第三部分</w:t>
      </w:r>
    </w:p>
    <w:p>
      <w:pPr>
        <w:pStyle w:val="14"/>
        <w:spacing w:line="480" w:lineRule="exact"/>
        <w:rPr>
          <w:color w:val="auto"/>
        </w:rPr>
      </w:pPr>
      <w:r>
        <w:rPr>
          <w:rFonts w:hint="eastAsia"/>
          <w:color w:val="auto"/>
        </w:rPr>
        <w:t xml:space="preserve">     </w:t>
      </w:r>
      <w:r>
        <w:rPr>
          <w:rFonts w:hint="eastAsia"/>
          <w:color w:val="auto"/>
          <w:lang w:eastAsia="zh-CN"/>
        </w:rPr>
        <w:t>服务</w:t>
      </w:r>
      <w:r>
        <w:rPr>
          <w:rFonts w:hint="eastAsia"/>
          <w:color w:val="auto"/>
        </w:rPr>
        <w:t>响应文件及差异表</w:t>
      </w:r>
    </w:p>
    <w:p>
      <w:pPr>
        <w:pStyle w:val="14"/>
        <w:spacing w:line="480" w:lineRule="exact"/>
        <w:rPr>
          <w:color w:val="auto"/>
        </w:rPr>
      </w:pPr>
      <w:r>
        <w:rPr>
          <w:rFonts w:hint="eastAsia"/>
          <w:color w:val="auto"/>
        </w:rPr>
        <w:t xml:space="preserve">     并在正本内附有相应各部分内容的电子文件一套</w:t>
      </w:r>
      <w:r>
        <w:rPr>
          <w:rFonts w:hint="eastAsia" w:hAnsi="宋体" w:cs="Tahoma"/>
          <w:b/>
          <w:bCs/>
          <w:color w:val="auto"/>
          <w:kern w:val="28"/>
          <w:szCs w:val="21"/>
        </w:rPr>
        <w:t>（U盘形式与报价文件正本一起密封）</w:t>
      </w:r>
      <w:r>
        <w:rPr>
          <w:rFonts w:hint="eastAsia"/>
          <w:color w:val="auto"/>
        </w:rPr>
        <w:t>。</w:t>
      </w:r>
    </w:p>
    <w:p>
      <w:pPr>
        <w:spacing w:line="480" w:lineRule="exact"/>
        <w:ind w:firstLine="570"/>
        <w:rPr>
          <w:rFonts w:ascii="宋体"/>
          <w:color w:val="auto"/>
        </w:rPr>
      </w:pPr>
      <w:r>
        <w:rPr>
          <w:rFonts w:hint="eastAsia" w:ascii="宋体"/>
          <w:color w:val="auto"/>
        </w:rPr>
        <w:t>我方已完全明白报价文件的所有条款要求，并重申以下几点：</w:t>
      </w:r>
    </w:p>
    <w:p>
      <w:pPr>
        <w:spacing w:line="480" w:lineRule="exact"/>
        <w:ind w:left="600" w:hanging="600"/>
        <w:rPr>
          <w:rFonts w:ascii="宋体"/>
          <w:color w:val="auto"/>
        </w:rPr>
      </w:pPr>
      <w:r>
        <w:rPr>
          <w:rFonts w:hint="eastAsia" w:ascii="宋体"/>
          <w:color w:val="auto"/>
        </w:rPr>
        <w:t>（一）我方决定参加：采购编号为</w:t>
      </w:r>
      <w:r>
        <w:rPr>
          <w:rFonts w:hint="eastAsia" w:ascii="宋体"/>
          <w:color w:val="auto"/>
          <w:u w:val="single"/>
        </w:rPr>
        <w:t xml:space="preserve">  </w:t>
      </w:r>
      <w:r>
        <w:rPr>
          <w:rFonts w:hint="eastAsia" w:ascii="宋体"/>
          <w:color w:val="auto"/>
          <w:u w:val="single"/>
          <w:lang w:eastAsia="zh-CN"/>
        </w:rPr>
        <w:t>GDXJ18FCS1005</w:t>
      </w:r>
      <w:r>
        <w:rPr>
          <w:rFonts w:hint="eastAsia" w:ascii="宋体"/>
          <w:color w:val="auto"/>
          <w:u w:val="single"/>
        </w:rPr>
        <w:t xml:space="preserve">  </w:t>
      </w:r>
      <w:r>
        <w:rPr>
          <w:rFonts w:hint="eastAsia" w:ascii="宋体"/>
          <w:color w:val="auto"/>
        </w:rPr>
        <w:t>号的报价；</w:t>
      </w:r>
    </w:p>
    <w:p>
      <w:pPr>
        <w:spacing w:line="480" w:lineRule="exact"/>
        <w:ind w:left="471" w:hanging="471"/>
        <w:rPr>
          <w:rFonts w:ascii="宋体"/>
          <w:color w:val="auto"/>
        </w:rPr>
      </w:pPr>
      <w:r>
        <w:rPr>
          <w:rFonts w:hint="eastAsia" w:ascii="宋体"/>
          <w:color w:val="auto"/>
        </w:rPr>
        <w:t>（二）全部货物之供应和有关服务的报价总价（详见报价表）；</w:t>
      </w:r>
    </w:p>
    <w:p>
      <w:pPr>
        <w:spacing w:line="480" w:lineRule="exact"/>
        <w:ind w:left="600" w:hanging="600"/>
        <w:rPr>
          <w:rFonts w:ascii="宋体"/>
          <w:color w:val="auto"/>
        </w:rPr>
      </w:pPr>
      <w:r>
        <w:rPr>
          <w:rFonts w:hint="eastAsia" w:ascii="宋体"/>
          <w:color w:val="auto"/>
        </w:rPr>
        <w:t xml:space="preserve">（三）本报价文件的有效期为磋商日起的 </w:t>
      </w:r>
      <w:r>
        <w:rPr>
          <w:rFonts w:hint="eastAsia" w:ascii="宋体"/>
          <w:color w:val="auto"/>
          <w:u w:val="single"/>
        </w:rPr>
        <w:t>90</w:t>
      </w:r>
      <w:r>
        <w:rPr>
          <w:rFonts w:hint="eastAsia" w:ascii="宋体"/>
          <w:color w:val="auto"/>
        </w:rPr>
        <w:t>天内有效，如成交，有效期将延至合同终止日为止；</w:t>
      </w:r>
    </w:p>
    <w:p>
      <w:pPr>
        <w:widowControl w:val="0"/>
        <w:spacing w:line="480" w:lineRule="exact"/>
        <w:ind w:left="693" w:hanging="693" w:hangingChars="330"/>
        <w:rPr>
          <w:rFonts w:ascii="宋体"/>
          <w:color w:val="auto"/>
        </w:rPr>
      </w:pPr>
      <w:r>
        <w:rPr>
          <w:rFonts w:hint="eastAsia" w:ascii="宋体"/>
          <w:color w:val="auto"/>
        </w:rPr>
        <w:t>（四）我方已详细研究了磋商文件的所有内容包括修改文件(如果有)和所有已提供的参考资料以及有关附件并完全明白, 我方放弃在此方面提出含糊意见或误解的一切权力。</w:t>
      </w:r>
    </w:p>
    <w:p>
      <w:pPr>
        <w:spacing w:line="480" w:lineRule="exact"/>
        <w:ind w:left="693" w:hanging="693" w:hangingChars="330"/>
        <w:rPr>
          <w:rFonts w:ascii="宋体"/>
          <w:color w:val="auto"/>
        </w:rPr>
      </w:pPr>
      <w:r>
        <w:rPr>
          <w:rFonts w:hint="eastAsia" w:ascii="宋体"/>
          <w:color w:val="auto"/>
        </w:rPr>
        <w:t>（五） 我方明白并愿意在规定的磋商时间和日期之后,报价有效期之内撤回报价, 则报价保证金将被贵方没收。</w:t>
      </w:r>
    </w:p>
    <w:p>
      <w:pPr>
        <w:pStyle w:val="16"/>
        <w:spacing w:line="480" w:lineRule="exact"/>
        <w:ind w:left="0" w:leftChars="0"/>
        <w:rPr>
          <w:color w:val="auto"/>
        </w:rPr>
      </w:pPr>
      <w:r>
        <w:rPr>
          <w:rFonts w:hint="eastAsia"/>
          <w:color w:val="auto"/>
        </w:rPr>
        <w:t>（六） 我方同意按照贵方可能提出的要求而提供与报价有关的任何其它数据或信息。</w:t>
      </w:r>
    </w:p>
    <w:p>
      <w:pPr>
        <w:spacing w:line="480" w:lineRule="exact"/>
        <w:ind w:left="735" w:hanging="735" w:hangingChars="350"/>
        <w:rPr>
          <w:rFonts w:ascii="宋体"/>
          <w:color w:val="auto"/>
        </w:rPr>
      </w:pPr>
      <w:r>
        <w:rPr>
          <w:rFonts w:hint="eastAsia" w:ascii="宋体"/>
          <w:color w:val="auto"/>
        </w:rPr>
        <w:t>（</w:t>
      </w:r>
      <w:r>
        <w:rPr>
          <w:rFonts w:hint="eastAsia" w:ascii="宋体"/>
          <w:color w:val="auto"/>
          <w:lang w:eastAsia="zh-CN"/>
        </w:rPr>
        <w:t>七</w:t>
      </w:r>
      <w:r>
        <w:rPr>
          <w:rFonts w:hint="eastAsia" w:ascii="宋体"/>
          <w:color w:val="auto"/>
        </w:rPr>
        <w:t xml:space="preserve">） </w:t>
      </w:r>
      <w:r>
        <w:rPr>
          <w:rFonts w:hint="eastAsia"/>
          <w:color w:val="auto"/>
        </w:rPr>
        <w:t>我方如果成交，将保证履行磋商文件以及磋商文件修改文件（如果有的话）中的全部责任和义务，按质、按量、按期完成《用户需求书》及《合同书》中的全部任务。</w:t>
      </w:r>
    </w:p>
    <w:p>
      <w:pPr>
        <w:pStyle w:val="13"/>
        <w:spacing w:line="480" w:lineRule="exact"/>
        <w:ind w:left="735" w:leftChars="0" w:hanging="735" w:hangingChars="350"/>
        <w:rPr>
          <w:color w:val="auto"/>
        </w:rPr>
      </w:pPr>
      <w:r>
        <w:rPr>
          <w:rFonts w:hint="eastAsia"/>
          <w:color w:val="auto"/>
        </w:rPr>
        <w:t>（</w:t>
      </w:r>
      <w:r>
        <w:rPr>
          <w:rFonts w:hint="eastAsia"/>
          <w:color w:val="auto"/>
          <w:lang w:eastAsia="zh-CN"/>
        </w:rPr>
        <w:t>八</w:t>
      </w:r>
      <w:r>
        <w:rPr>
          <w:rFonts w:hint="eastAsia"/>
          <w:color w:val="auto"/>
        </w:rPr>
        <w:t>） 如我方被授予合同，由我方就本次磋商支付或将支付的服务费列于磋商文件要求的承诺书（承诺书号</w:t>
      </w:r>
      <w:r>
        <w:rPr>
          <w:rFonts w:hint="eastAsia"/>
          <w:b/>
          <w:color w:val="auto"/>
        </w:rPr>
        <w:t>ZB</w:t>
      </w:r>
      <w:r>
        <w:rPr>
          <w:rFonts w:hint="eastAsia" w:ascii="宋体" w:hAnsi="宋体"/>
          <w:color w:val="auto"/>
        </w:rPr>
        <w:t xml:space="preserve"> </w:t>
      </w:r>
      <w:r>
        <w:rPr>
          <w:rFonts w:hint="eastAsia" w:ascii="宋体" w:hAnsi="宋体"/>
          <w:color w:val="auto"/>
          <w:lang w:eastAsia="zh-CN"/>
        </w:rPr>
        <w:t>GDXJ18FCS1005</w:t>
      </w:r>
      <w:r>
        <w:rPr>
          <w:rFonts w:hint="eastAsia"/>
          <w:color w:val="auto"/>
        </w:rPr>
        <w:t>）中。</w:t>
      </w:r>
    </w:p>
    <w:p>
      <w:pPr>
        <w:spacing w:line="480" w:lineRule="exact"/>
        <w:rPr>
          <w:rFonts w:ascii="宋体"/>
          <w:color w:val="auto"/>
        </w:rPr>
      </w:pPr>
      <w:r>
        <w:rPr>
          <w:rFonts w:hint="eastAsia" w:ascii="宋体"/>
          <w:color w:val="auto"/>
        </w:rPr>
        <w:t>（</w:t>
      </w:r>
      <w:r>
        <w:rPr>
          <w:rFonts w:hint="eastAsia" w:ascii="宋体"/>
          <w:color w:val="auto"/>
          <w:lang w:eastAsia="zh-CN"/>
        </w:rPr>
        <w:t>九</w:t>
      </w:r>
      <w:r>
        <w:rPr>
          <w:rFonts w:hint="eastAsia" w:ascii="宋体"/>
          <w:color w:val="auto"/>
        </w:rPr>
        <w:t>） 所有与本磋商有关的函件请发往下列地址:</w:t>
      </w:r>
    </w:p>
    <w:p>
      <w:pPr>
        <w:spacing w:line="480" w:lineRule="exact"/>
        <w:ind w:left="721"/>
        <w:rPr>
          <w:rFonts w:ascii="宋体"/>
          <w:color w:val="auto"/>
          <w:u w:val="single"/>
        </w:rPr>
      </w:pPr>
      <w:r>
        <w:rPr>
          <w:rFonts w:hint="eastAsia" w:ascii="宋体"/>
          <w:color w:val="auto"/>
        </w:rPr>
        <w:t xml:space="preserve">  地    址：</w:t>
      </w:r>
      <w:r>
        <w:rPr>
          <w:rFonts w:hint="eastAsia" w:ascii="宋体"/>
          <w:color w:val="auto"/>
          <w:u w:val="single"/>
        </w:rPr>
        <w:t xml:space="preserve">                     </w:t>
      </w:r>
      <w:r>
        <w:rPr>
          <w:rFonts w:hint="eastAsia" w:ascii="宋体"/>
          <w:color w:val="auto"/>
        </w:rPr>
        <w:t>.邮政编码：</w:t>
      </w:r>
      <w:r>
        <w:rPr>
          <w:rFonts w:hint="eastAsia" w:ascii="宋体"/>
          <w:color w:val="auto"/>
          <w:u w:val="single"/>
        </w:rPr>
        <w:t xml:space="preserve">                  </w:t>
      </w:r>
      <w:r>
        <w:rPr>
          <w:rFonts w:hint="eastAsia" w:ascii="宋体"/>
          <w:color w:val="auto"/>
        </w:rPr>
        <w:t>.</w:t>
      </w:r>
    </w:p>
    <w:p>
      <w:pPr>
        <w:spacing w:line="480" w:lineRule="exact"/>
        <w:ind w:left="721"/>
        <w:rPr>
          <w:rFonts w:ascii="宋体"/>
          <w:color w:val="auto"/>
          <w:u w:val="single"/>
        </w:rPr>
      </w:pPr>
      <w:r>
        <w:rPr>
          <w:rFonts w:hint="eastAsia" w:ascii="宋体"/>
          <w:color w:val="auto"/>
        </w:rPr>
        <w:t xml:space="preserve">  电    话：</w:t>
      </w:r>
      <w:r>
        <w:rPr>
          <w:rFonts w:hint="eastAsia" w:ascii="宋体"/>
          <w:color w:val="auto"/>
          <w:u w:val="single"/>
        </w:rPr>
        <w:t xml:space="preserve">                     </w:t>
      </w:r>
      <w:r>
        <w:rPr>
          <w:rFonts w:hint="eastAsia" w:ascii="宋体"/>
          <w:color w:val="auto"/>
        </w:rPr>
        <w:t>.传    真：</w:t>
      </w:r>
      <w:r>
        <w:rPr>
          <w:rFonts w:hint="eastAsia" w:ascii="宋体"/>
          <w:color w:val="auto"/>
          <w:u w:val="single"/>
        </w:rPr>
        <w:t xml:space="preserve">                  </w:t>
      </w:r>
      <w:r>
        <w:rPr>
          <w:rFonts w:hint="eastAsia" w:ascii="宋体"/>
          <w:color w:val="auto"/>
        </w:rPr>
        <w:t>.</w:t>
      </w:r>
    </w:p>
    <w:p>
      <w:pPr>
        <w:spacing w:line="480" w:lineRule="exact"/>
        <w:ind w:left="721"/>
        <w:rPr>
          <w:rFonts w:ascii="宋体"/>
          <w:color w:val="auto"/>
          <w:u w:val="single"/>
        </w:rPr>
      </w:pPr>
      <w:r>
        <w:rPr>
          <w:rFonts w:hint="eastAsia" w:ascii="宋体"/>
          <w:color w:val="auto"/>
        </w:rPr>
        <w:t xml:space="preserve">  代表姓名：</w:t>
      </w:r>
      <w:r>
        <w:rPr>
          <w:rFonts w:hint="eastAsia" w:ascii="宋体"/>
          <w:color w:val="auto"/>
          <w:u w:val="single"/>
        </w:rPr>
        <w:t xml:space="preserve">                     </w:t>
      </w:r>
      <w:r>
        <w:rPr>
          <w:rFonts w:hint="eastAsia" w:ascii="宋体"/>
          <w:color w:val="auto"/>
        </w:rPr>
        <w:t>.职    务：</w:t>
      </w:r>
      <w:r>
        <w:rPr>
          <w:rFonts w:hint="eastAsia" w:ascii="宋体"/>
          <w:color w:val="auto"/>
          <w:u w:val="single"/>
        </w:rPr>
        <w:t xml:space="preserve">                  </w:t>
      </w:r>
      <w:r>
        <w:rPr>
          <w:rFonts w:hint="eastAsia" w:ascii="宋体"/>
          <w:color w:val="auto"/>
        </w:rPr>
        <w:t>.</w:t>
      </w:r>
    </w:p>
    <w:p>
      <w:pPr>
        <w:spacing w:line="480" w:lineRule="exact"/>
        <w:rPr>
          <w:rFonts w:ascii="宋体"/>
          <w:color w:val="auto"/>
          <w:u w:val="single"/>
        </w:rPr>
      </w:pPr>
    </w:p>
    <w:p>
      <w:pPr>
        <w:spacing w:line="480" w:lineRule="exact"/>
        <w:rPr>
          <w:rFonts w:ascii="宋体"/>
          <w:color w:val="auto"/>
          <w:u w:val="single"/>
        </w:rPr>
      </w:pPr>
    </w:p>
    <w:p>
      <w:pPr>
        <w:spacing w:line="480" w:lineRule="exact"/>
        <w:ind w:left="4599" w:leftChars="2190"/>
        <w:jc w:val="both"/>
        <w:rPr>
          <w:rFonts w:ascii="宋体"/>
          <w:color w:val="auto"/>
        </w:rPr>
      </w:pPr>
      <w:r>
        <w:rPr>
          <w:rFonts w:hint="eastAsia" w:ascii="宋体"/>
          <w:color w:val="auto"/>
        </w:rPr>
        <w:t>报价人（公章）：</w:t>
      </w:r>
    </w:p>
    <w:p>
      <w:pPr>
        <w:spacing w:line="480" w:lineRule="exact"/>
        <w:ind w:left="4599" w:leftChars="2190"/>
        <w:jc w:val="both"/>
        <w:rPr>
          <w:rFonts w:ascii="宋体"/>
          <w:color w:val="auto"/>
        </w:rPr>
      </w:pPr>
    </w:p>
    <w:p>
      <w:pPr>
        <w:spacing w:line="480" w:lineRule="exact"/>
        <w:ind w:left="4599" w:leftChars="2190"/>
        <w:jc w:val="both"/>
        <w:rPr>
          <w:rFonts w:ascii="宋体"/>
          <w:color w:val="auto"/>
        </w:rPr>
      </w:pPr>
      <w:r>
        <w:rPr>
          <w:rFonts w:hint="eastAsia" w:ascii="宋体"/>
          <w:color w:val="auto"/>
        </w:rPr>
        <w:t>报价人地址：</w:t>
      </w:r>
    </w:p>
    <w:p>
      <w:pPr>
        <w:spacing w:line="480" w:lineRule="exact"/>
        <w:ind w:left="4599" w:leftChars="2190"/>
        <w:jc w:val="both"/>
        <w:rPr>
          <w:rFonts w:ascii="宋体"/>
          <w:color w:val="auto"/>
        </w:rPr>
      </w:pPr>
    </w:p>
    <w:p>
      <w:pPr>
        <w:spacing w:line="480" w:lineRule="exact"/>
        <w:ind w:left="4599" w:leftChars="2190"/>
        <w:jc w:val="both"/>
        <w:rPr>
          <w:rFonts w:ascii="宋体"/>
          <w:color w:val="auto"/>
        </w:rPr>
      </w:pPr>
      <w:r>
        <w:rPr>
          <w:rFonts w:hint="eastAsia" w:ascii="宋体"/>
          <w:color w:val="auto"/>
        </w:rPr>
        <w:t>授权代表姓名（签名）：</w:t>
      </w:r>
    </w:p>
    <w:p>
      <w:pPr>
        <w:spacing w:line="480" w:lineRule="exact"/>
        <w:ind w:left="4599" w:leftChars="2190"/>
        <w:jc w:val="both"/>
        <w:rPr>
          <w:rFonts w:ascii="宋体"/>
          <w:color w:val="auto"/>
        </w:rPr>
      </w:pPr>
    </w:p>
    <w:p>
      <w:pPr>
        <w:spacing w:line="480" w:lineRule="exact"/>
        <w:ind w:left="4599" w:leftChars="2190"/>
        <w:jc w:val="both"/>
        <w:rPr>
          <w:rFonts w:ascii="宋体"/>
          <w:color w:val="auto"/>
        </w:rPr>
      </w:pPr>
      <w:r>
        <w:rPr>
          <w:rFonts w:hint="eastAsia" w:ascii="宋体"/>
          <w:color w:val="auto"/>
        </w:rPr>
        <w:t>日    期：</w:t>
      </w:r>
    </w:p>
    <w:p>
      <w:pPr>
        <w:pStyle w:val="2"/>
        <w:spacing w:line="480" w:lineRule="exact"/>
        <w:rPr>
          <w:color w:val="auto"/>
          <w:sz w:val="32"/>
          <w:szCs w:val="32"/>
        </w:rPr>
      </w:pPr>
      <w:r>
        <w:rPr>
          <w:color w:val="auto"/>
        </w:rPr>
        <w:br w:type="page"/>
      </w:r>
      <w:bookmarkStart w:id="25" w:name="_Toc42951053"/>
      <w:r>
        <w:rPr>
          <w:rFonts w:hint="eastAsia"/>
          <w:color w:val="auto"/>
          <w:sz w:val="32"/>
          <w:szCs w:val="32"/>
          <w:lang w:val="en-US" w:eastAsia="zh-CN"/>
        </w:rPr>
        <w:t>2</w:t>
      </w:r>
      <w:r>
        <w:rPr>
          <w:rFonts w:hint="eastAsia"/>
          <w:color w:val="auto"/>
          <w:sz w:val="32"/>
          <w:szCs w:val="32"/>
        </w:rPr>
        <w:t>．</w:t>
      </w:r>
      <w:bookmarkEnd w:id="25"/>
      <w:r>
        <w:rPr>
          <w:rFonts w:hint="eastAsia" w:ascii="新宋体" w:hAnsi="新宋体" w:eastAsia="新宋体"/>
          <w:color w:val="auto"/>
          <w:sz w:val="32"/>
        </w:rPr>
        <w:t>法定代表人证明书、</w:t>
      </w:r>
      <w:r>
        <w:rPr>
          <w:rFonts w:hint="eastAsia" w:ascii="新宋体" w:hAnsi="新宋体" w:eastAsia="新宋体"/>
          <w:color w:val="auto"/>
          <w:sz w:val="32"/>
          <w:szCs w:val="32"/>
        </w:rPr>
        <w:t>法定代表人授权书格式</w:t>
      </w:r>
      <w:r>
        <w:rPr>
          <w:rFonts w:hint="eastAsia" w:ascii="新宋体" w:hAnsi="新宋体" w:eastAsia="新宋体"/>
          <w:color w:val="auto"/>
          <w:sz w:val="28"/>
          <w:szCs w:val="28"/>
        </w:rPr>
        <w:t>（附：法定代表人，被授权人身份证复印件）</w:t>
      </w:r>
    </w:p>
    <w:p>
      <w:pPr>
        <w:pStyle w:val="14"/>
        <w:spacing w:before="240" w:after="240" w:line="360" w:lineRule="auto"/>
        <w:jc w:val="center"/>
        <w:rPr>
          <w:rFonts w:ascii="新宋体" w:hAnsi="新宋体" w:eastAsia="新宋体"/>
          <w:b/>
          <w:color w:val="auto"/>
          <w:sz w:val="32"/>
        </w:rPr>
      </w:pPr>
      <w:r>
        <w:rPr>
          <w:rFonts w:hint="eastAsia" w:ascii="新宋体" w:hAnsi="新宋体" w:eastAsia="新宋体"/>
          <w:b/>
          <w:color w:val="auto"/>
          <w:sz w:val="32"/>
        </w:rPr>
        <w:t>法定代表人证明书</w:t>
      </w:r>
    </w:p>
    <w:p>
      <w:pPr>
        <w:spacing w:line="360" w:lineRule="auto"/>
        <w:rPr>
          <w:rFonts w:ascii="新宋体" w:hAnsi="新宋体" w:eastAsia="新宋体"/>
          <w:b/>
          <w:color w:val="auto"/>
          <w:szCs w:val="21"/>
        </w:rPr>
      </w:pPr>
      <w:r>
        <w:rPr>
          <w:rFonts w:hint="eastAsia" w:ascii="新宋体" w:hAnsi="新宋体" w:eastAsia="新宋体"/>
          <w:b/>
          <w:bCs/>
          <w:color w:val="auto"/>
          <w:szCs w:val="21"/>
        </w:rPr>
        <w:t>致:广东</w:t>
      </w:r>
      <w:r>
        <w:rPr>
          <w:rFonts w:hint="eastAsia" w:ascii="新宋体" w:hAnsi="新宋体" w:eastAsia="新宋体"/>
          <w:b/>
          <w:color w:val="auto"/>
          <w:szCs w:val="21"/>
        </w:rPr>
        <w:t>晓君招标采购代理有限公司</w:t>
      </w:r>
    </w:p>
    <w:p>
      <w:pPr>
        <w:spacing w:line="360" w:lineRule="auto"/>
        <w:rPr>
          <w:rFonts w:ascii="新宋体" w:hAnsi="新宋体" w:eastAsia="新宋体"/>
          <w:b/>
          <w:color w:val="auto"/>
          <w:szCs w:val="21"/>
        </w:rPr>
      </w:pPr>
    </w:p>
    <w:p>
      <w:pPr>
        <w:spacing w:line="360" w:lineRule="auto"/>
        <w:rPr>
          <w:rFonts w:ascii="新宋体" w:hAnsi="新宋体" w:eastAsia="新宋体"/>
          <w:color w:val="auto"/>
          <w:szCs w:val="21"/>
        </w:rPr>
      </w:pPr>
      <w:r>
        <w:rPr>
          <w:rFonts w:hint="eastAsia" w:ascii="新宋体" w:hAnsi="新宋体" w:eastAsia="新宋体"/>
          <w:color w:val="auto"/>
          <w:szCs w:val="21"/>
        </w:rPr>
        <w:t xml:space="preserve">    </w:t>
      </w:r>
      <w:r>
        <w:rPr>
          <w:rFonts w:hint="eastAsia" w:ascii="新宋体" w:hAnsi="新宋体" w:eastAsia="新宋体"/>
          <w:color w:val="auto"/>
          <w:szCs w:val="21"/>
          <w:u w:val="single"/>
        </w:rPr>
        <w:t xml:space="preserve">            </w:t>
      </w:r>
      <w:r>
        <w:rPr>
          <w:rFonts w:hint="eastAsia" w:ascii="新宋体" w:hAnsi="新宋体" w:eastAsia="新宋体"/>
          <w:color w:val="auto"/>
          <w:szCs w:val="21"/>
        </w:rPr>
        <w:t>同志，现任我单位</w:t>
      </w:r>
      <w:r>
        <w:rPr>
          <w:rFonts w:hint="eastAsia" w:ascii="新宋体" w:hAnsi="新宋体" w:eastAsia="新宋体"/>
          <w:color w:val="auto"/>
          <w:szCs w:val="21"/>
          <w:u w:val="single"/>
        </w:rPr>
        <w:t xml:space="preserve">            </w:t>
      </w:r>
      <w:r>
        <w:rPr>
          <w:rFonts w:hint="eastAsia" w:ascii="新宋体" w:hAnsi="新宋体" w:eastAsia="新宋体"/>
          <w:color w:val="auto"/>
          <w:szCs w:val="21"/>
        </w:rPr>
        <w:t>职务，为法定代表人，特此证明。</w:t>
      </w:r>
    </w:p>
    <w:p>
      <w:pPr>
        <w:spacing w:line="360" w:lineRule="auto"/>
        <w:rPr>
          <w:rFonts w:ascii="新宋体" w:hAnsi="新宋体" w:eastAsia="新宋体"/>
          <w:color w:val="auto"/>
          <w:szCs w:val="21"/>
        </w:rPr>
      </w:pPr>
      <w:r>
        <w:rPr>
          <w:rFonts w:hint="eastAsia" w:ascii="新宋体" w:hAnsi="新宋体" w:eastAsia="新宋体"/>
          <w:color w:val="auto"/>
          <w:szCs w:val="21"/>
        </w:rPr>
        <w:t>签发日期：</w:t>
      </w:r>
      <w:r>
        <w:rPr>
          <w:rFonts w:hint="eastAsia" w:ascii="新宋体" w:hAnsi="新宋体" w:eastAsia="新宋体"/>
          <w:color w:val="auto"/>
          <w:szCs w:val="21"/>
          <w:u w:val="single"/>
        </w:rPr>
        <w:t xml:space="preserve">                    </w:t>
      </w:r>
      <w:r>
        <w:rPr>
          <w:rFonts w:hint="eastAsia" w:ascii="新宋体" w:hAnsi="新宋体" w:eastAsia="新宋体"/>
          <w:color w:val="auto"/>
          <w:szCs w:val="21"/>
        </w:rPr>
        <w:t xml:space="preserve">           单位名称：</w:t>
      </w:r>
      <w:r>
        <w:rPr>
          <w:rFonts w:hint="eastAsia" w:ascii="新宋体" w:hAnsi="新宋体" w:eastAsia="新宋体"/>
          <w:color w:val="auto"/>
          <w:szCs w:val="21"/>
          <w:u w:val="single"/>
        </w:rPr>
        <w:t xml:space="preserve">                            </w:t>
      </w:r>
      <w:r>
        <w:rPr>
          <w:rFonts w:hint="eastAsia" w:ascii="新宋体" w:hAnsi="新宋体" w:eastAsia="新宋体"/>
          <w:color w:val="auto"/>
          <w:szCs w:val="21"/>
        </w:rPr>
        <w:t>（盖章）</w:t>
      </w:r>
    </w:p>
    <w:p>
      <w:pPr>
        <w:spacing w:line="360" w:lineRule="auto"/>
        <w:rPr>
          <w:rFonts w:ascii="新宋体" w:hAnsi="新宋体" w:eastAsia="新宋体"/>
          <w:color w:val="auto"/>
          <w:szCs w:val="21"/>
        </w:rPr>
      </w:pPr>
    </w:p>
    <w:p>
      <w:pPr>
        <w:spacing w:line="360" w:lineRule="auto"/>
        <w:rPr>
          <w:rFonts w:ascii="新宋体" w:hAnsi="新宋体" w:eastAsia="新宋体"/>
          <w:color w:val="auto"/>
          <w:szCs w:val="21"/>
          <w:u w:val="single"/>
        </w:rPr>
      </w:pPr>
      <w:r>
        <w:rPr>
          <w:rFonts w:hint="eastAsia" w:ascii="新宋体" w:hAnsi="新宋体" w:eastAsia="新宋体"/>
          <w:color w:val="auto"/>
          <w:szCs w:val="21"/>
        </w:rPr>
        <w:t>附：代表人性别：</w:t>
      </w:r>
      <w:r>
        <w:rPr>
          <w:rFonts w:hint="eastAsia" w:ascii="新宋体" w:hAnsi="新宋体" w:eastAsia="新宋体"/>
          <w:color w:val="auto"/>
          <w:szCs w:val="21"/>
          <w:u w:val="single"/>
        </w:rPr>
        <w:t xml:space="preserve">           </w:t>
      </w:r>
      <w:r>
        <w:rPr>
          <w:rFonts w:hint="eastAsia" w:ascii="新宋体" w:hAnsi="新宋体" w:eastAsia="新宋体"/>
          <w:color w:val="auto"/>
          <w:szCs w:val="21"/>
        </w:rPr>
        <w:t xml:space="preserve">           年龄：</w:t>
      </w:r>
      <w:r>
        <w:rPr>
          <w:rFonts w:hint="eastAsia" w:ascii="新宋体" w:hAnsi="新宋体" w:eastAsia="新宋体"/>
          <w:color w:val="auto"/>
          <w:szCs w:val="21"/>
          <w:u w:val="single"/>
        </w:rPr>
        <w:t xml:space="preserve">         </w:t>
      </w:r>
    </w:p>
    <w:p>
      <w:pPr>
        <w:spacing w:line="360" w:lineRule="auto"/>
        <w:rPr>
          <w:rFonts w:ascii="新宋体" w:hAnsi="新宋体" w:eastAsia="新宋体"/>
          <w:color w:val="auto"/>
          <w:szCs w:val="21"/>
          <w:u w:val="single"/>
        </w:rPr>
      </w:pPr>
      <w:r>
        <w:rPr>
          <w:rFonts w:hint="eastAsia" w:ascii="新宋体" w:hAnsi="新宋体" w:eastAsia="新宋体"/>
          <w:color w:val="auto"/>
          <w:szCs w:val="21"/>
        </w:rPr>
        <w:t>身份证号码：</w:t>
      </w:r>
      <w:r>
        <w:rPr>
          <w:rFonts w:hint="eastAsia" w:ascii="新宋体" w:hAnsi="新宋体" w:eastAsia="新宋体"/>
          <w:color w:val="auto"/>
          <w:szCs w:val="21"/>
          <w:u w:val="single"/>
        </w:rPr>
        <w:t xml:space="preserve">                          </w:t>
      </w:r>
    </w:p>
    <w:p>
      <w:pPr>
        <w:spacing w:line="360" w:lineRule="auto"/>
        <w:rPr>
          <w:rFonts w:ascii="新宋体" w:hAnsi="新宋体" w:eastAsia="新宋体"/>
          <w:color w:val="auto"/>
          <w:szCs w:val="21"/>
        </w:rPr>
      </w:pPr>
      <w:r>
        <w:rPr>
          <w:rFonts w:hint="eastAsia" w:ascii="新宋体" w:hAnsi="新宋体" w:eastAsia="新宋体"/>
          <w:color w:val="auto"/>
          <w:szCs w:val="21"/>
        </w:rPr>
        <w:t>联系电话：</w:t>
      </w:r>
      <w:r>
        <w:rPr>
          <w:rFonts w:hint="eastAsia" w:ascii="新宋体" w:hAnsi="新宋体" w:eastAsia="新宋体"/>
          <w:color w:val="auto"/>
          <w:szCs w:val="21"/>
          <w:u w:val="single"/>
        </w:rPr>
        <w:t xml:space="preserve">                            </w:t>
      </w:r>
    </w:p>
    <w:p>
      <w:pPr>
        <w:spacing w:line="360" w:lineRule="auto"/>
        <w:rPr>
          <w:rFonts w:ascii="新宋体" w:hAnsi="新宋体" w:eastAsia="新宋体"/>
          <w:color w:val="auto"/>
          <w:u w:val="single"/>
        </w:rPr>
      </w:pPr>
      <w:r>
        <w:rPr>
          <w:rFonts w:hint="eastAsia" w:ascii="新宋体" w:hAnsi="新宋体" w:eastAsia="新宋体"/>
          <w:color w:val="auto"/>
          <w:szCs w:val="21"/>
        </w:rPr>
        <w:t>营业</w:t>
      </w:r>
      <w:r>
        <w:rPr>
          <w:rFonts w:hint="eastAsia" w:ascii="新宋体" w:hAnsi="新宋体" w:eastAsia="新宋体"/>
          <w:color w:val="auto"/>
        </w:rPr>
        <w:t>执照号码：</w:t>
      </w:r>
      <w:r>
        <w:rPr>
          <w:rFonts w:hint="eastAsia" w:ascii="新宋体" w:hAnsi="新宋体" w:eastAsia="新宋体"/>
          <w:color w:val="auto"/>
          <w:u w:val="single"/>
        </w:rPr>
        <w:t xml:space="preserve">                        </w:t>
      </w:r>
      <w:r>
        <w:rPr>
          <w:rFonts w:hint="eastAsia" w:ascii="新宋体" w:hAnsi="新宋体" w:eastAsia="新宋体"/>
          <w:color w:val="auto"/>
        </w:rPr>
        <w:t xml:space="preserve">            经济性质：</w:t>
      </w:r>
      <w:r>
        <w:rPr>
          <w:rFonts w:hint="eastAsia" w:ascii="新宋体" w:hAnsi="新宋体" w:eastAsia="新宋体"/>
          <w:color w:val="auto"/>
          <w:u w:val="single"/>
        </w:rPr>
        <w:t xml:space="preserve">                </w:t>
      </w:r>
    </w:p>
    <w:p>
      <w:pPr>
        <w:spacing w:line="360" w:lineRule="auto"/>
        <w:rPr>
          <w:rFonts w:ascii="新宋体" w:hAnsi="新宋体" w:eastAsia="新宋体"/>
          <w:color w:val="auto"/>
          <w:u w:val="single"/>
        </w:rPr>
      </w:pPr>
      <w:r>
        <w:rPr>
          <w:rFonts w:hint="eastAsia" w:ascii="新宋体" w:hAnsi="新宋体" w:eastAsia="新宋体"/>
          <w:color w:val="auto"/>
        </w:rPr>
        <w:t>主营（产）</w:t>
      </w:r>
      <w:r>
        <w:rPr>
          <w:rFonts w:hint="eastAsia" w:ascii="新宋体" w:hAnsi="新宋体" w:eastAsia="新宋体"/>
          <w:color w:val="auto"/>
          <w:u w:val="single"/>
        </w:rPr>
        <w:t xml:space="preserve">                                                                            </w:t>
      </w:r>
    </w:p>
    <w:p>
      <w:pPr>
        <w:spacing w:line="360" w:lineRule="auto"/>
        <w:rPr>
          <w:rFonts w:ascii="新宋体" w:hAnsi="新宋体" w:eastAsia="新宋体"/>
          <w:color w:val="auto"/>
          <w:u w:val="single"/>
        </w:rPr>
      </w:pPr>
      <w:r>
        <w:rPr>
          <w:rFonts w:hint="eastAsia" w:ascii="新宋体" w:hAnsi="新宋体" w:eastAsia="新宋体"/>
          <w:color w:val="auto"/>
          <w:u w:val="single"/>
        </w:rPr>
        <w:t xml:space="preserve">                                                                                       </w:t>
      </w:r>
    </w:p>
    <w:p>
      <w:pPr>
        <w:spacing w:line="360" w:lineRule="auto"/>
        <w:rPr>
          <w:rFonts w:ascii="新宋体" w:hAnsi="新宋体" w:eastAsia="新宋体"/>
          <w:color w:val="auto"/>
        </w:rPr>
      </w:pPr>
      <w:r>
        <w:rPr>
          <w:rFonts w:hint="eastAsia" w:ascii="新宋体" w:hAnsi="新宋体" w:eastAsia="新宋体"/>
          <w:color w:val="auto"/>
        </w:rPr>
        <w:t>兼营（产）：</w:t>
      </w:r>
    </w:p>
    <w:p>
      <w:pPr>
        <w:spacing w:line="360" w:lineRule="auto"/>
        <w:rPr>
          <w:rFonts w:ascii="新宋体" w:hAnsi="新宋体" w:eastAsia="新宋体"/>
          <w:color w:val="auto"/>
        </w:rPr>
      </w:pPr>
      <w:r>
        <w:rPr>
          <w:rFonts w:hint="eastAsia" w:ascii="新宋体" w:hAnsi="新宋体" w:eastAsia="新宋体"/>
          <w:color w:val="auto"/>
        </w:rPr>
        <w:t>进口物品经营许可证号码：</w:t>
      </w:r>
    </w:p>
    <w:p>
      <w:pPr>
        <w:spacing w:line="360" w:lineRule="auto"/>
        <w:rPr>
          <w:rFonts w:ascii="新宋体" w:hAnsi="新宋体" w:eastAsia="新宋体"/>
          <w:color w:val="auto"/>
        </w:rPr>
      </w:pPr>
      <w:r>
        <w:rPr>
          <w:rFonts w:hint="eastAsia" w:ascii="新宋体" w:hAnsi="新宋体" w:eastAsia="新宋体"/>
          <w:color w:val="auto"/>
        </w:rPr>
        <w:t>主营：</w:t>
      </w:r>
    </w:p>
    <w:p>
      <w:pPr>
        <w:spacing w:line="360" w:lineRule="auto"/>
        <w:rPr>
          <w:rFonts w:ascii="新宋体" w:hAnsi="新宋体" w:eastAsia="新宋体"/>
          <w:color w:val="auto"/>
        </w:rPr>
      </w:pPr>
      <w:r>
        <w:rPr>
          <w:rFonts w:hint="eastAsia" w:ascii="新宋体" w:hAnsi="新宋体" w:eastAsia="新宋体"/>
          <w:color w:val="auto"/>
        </w:rPr>
        <w:t>兼营：</w:t>
      </w:r>
    </w:p>
    <w:p>
      <w:pPr>
        <w:spacing w:line="360" w:lineRule="auto"/>
        <w:rPr>
          <w:rFonts w:ascii="新宋体" w:hAnsi="新宋体" w:eastAsia="新宋体"/>
          <w:color w:val="auto"/>
        </w:rPr>
      </w:pPr>
      <w:r>
        <w:rPr>
          <w:rFonts w:hint="eastAsia" w:ascii="新宋体" w:hAnsi="新宋体" w:eastAsia="新宋体"/>
          <w:color w:val="auto"/>
        </w:rPr>
        <w:t>说明：1.法定代表人为企业事业单位、国家机关、社会团体的主要行政负责人。</w:t>
      </w:r>
    </w:p>
    <w:p>
      <w:pPr>
        <w:spacing w:line="360" w:lineRule="auto"/>
        <w:rPr>
          <w:rFonts w:ascii="新宋体" w:hAnsi="新宋体" w:eastAsia="新宋体"/>
          <w:color w:val="auto"/>
        </w:rPr>
      </w:pPr>
      <w:r>
        <w:rPr>
          <w:rFonts w:hint="eastAsia" w:ascii="新宋体" w:hAnsi="新宋体" w:eastAsia="新宋体"/>
          <w:color w:val="auto"/>
        </w:rPr>
        <w:t xml:space="preserve">      2.内容必须填写真实、清楚、涂改无效，不得转让、买卖。</w:t>
      </w:r>
    </w:p>
    <w:p>
      <w:pPr>
        <w:spacing w:line="360" w:lineRule="auto"/>
        <w:rPr>
          <w:rFonts w:ascii="新宋体" w:hAnsi="新宋体" w:eastAsia="新宋体"/>
          <w:color w:val="auto"/>
        </w:rPr>
      </w:pPr>
      <w:r>
        <w:rPr>
          <w:rFonts w:hint="eastAsia" w:ascii="新宋体" w:hAnsi="新宋体" w:eastAsia="新宋体"/>
          <w:color w:val="auto"/>
        </w:rPr>
        <w:t xml:space="preserve">      3.将此证明提交对方作为合同附件。</w:t>
      </w:r>
    </w:p>
    <w:p>
      <w:pPr>
        <w:spacing w:line="480" w:lineRule="exact"/>
        <w:jc w:val="both"/>
        <w:rPr>
          <w:rFonts w:ascii="新宋体" w:hAnsi="新宋体" w:eastAsia="新宋体"/>
          <w:color w:val="auto"/>
        </w:rPr>
      </w:pPr>
      <w:r>
        <w:rPr>
          <w:rFonts w:hint="eastAsia" w:ascii="新宋体" w:hAnsi="新宋体" w:eastAsia="新宋体"/>
          <w:color w:val="auto"/>
        </w:rPr>
        <w:t xml:space="preserve">                                                    报价人（公章）：</w:t>
      </w:r>
    </w:p>
    <w:p>
      <w:pPr>
        <w:spacing w:line="480" w:lineRule="exact"/>
        <w:ind w:firstLine="5460" w:firstLineChars="2600"/>
        <w:jc w:val="both"/>
        <w:rPr>
          <w:rFonts w:ascii="新宋体" w:hAnsi="新宋体" w:eastAsia="新宋体"/>
          <w:color w:val="auto"/>
        </w:rPr>
      </w:pPr>
      <w:r>
        <w:rPr>
          <w:rFonts w:hint="eastAsia" w:ascii="新宋体" w:hAnsi="新宋体" w:eastAsia="新宋体"/>
          <w:color w:val="auto"/>
        </w:rPr>
        <w:t>地        址：</w:t>
      </w:r>
    </w:p>
    <w:p>
      <w:pPr>
        <w:tabs>
          <w:tab w:val="left" w:pos="3780"/>
        </w:tabs>
        <w:spacing w:line="480" w:lineRule="exact"/>
        <w:ind w:firstLine="5460" w:firstLineChars="2600"/>
        <w:jc w:val="both"/>
        <w:rPr>
          <w:rFonts w:ascii="新宋体" w:hAnsi="新宋体" w:eastAsia="新宋体"/>
          <w:color w:val="auto"/>
        </w:rPr>
      </w:pPr>
      <w:r>
        <w:rPr>
          <w:rFonts w:hint="eastAsia" w:ascii="新宋体" w:hAnsi="新宋体" w:eastAsia="新宋体"/>
          <w:color w:val="auto"/>
        </w:rPr>
        <w:t>法定代表人（签字）：</w:t>
      </w:r>
    </w:p>
    <w:p>
      <w:pPr>
        <w:pStyle w:val="14"/>
        <w:spacing w:line="480" w:lineRule="exact"/>
        <w:jc w:val="center"/>
        <w:rPr>
          <w:b/>
          <w:color w:val="auto"/>
          <w:sz w:val="32"/>
        </w:rPr>
      </w:pPr>
      <w:r>
        <w:rPr>
          <w:rFonts w:hint="eastAsia" w:ascii="新宋体" w:hAnsi="新宋体" w:eastAsia="新宋体"/>
          <w:color w:val="auto"/>
        </w:rPr>
        <w:t xml:space="preserve">                                职        务：</w:t>
      </w:r>
      <w:r>
        <w:rPr>
          <w:b/>
          <w:color w:val="auto"/>
          <w:sz w:val="32"/>
        </w:rPr>
        <w:br w:type="page"/>
      </w:r>
      <w:r>
        <w:rPr>
          <w:rFonts w:hint="eastAsia"/>
          <w:b/>
          <w:color w:val="auto"/>
          <w:sz w:val="32"/>
        </w:rPr>
        <w:t>法定代表人授权书</w:t>
      </w:r>
    </w:p>
    <w:p>
      <w:pPr>
        <w:pStyle w:val="14"/>
        <w:spacing w:line="480" w:lineRule="exact"/>
        <w:rPr>
          <w:color w:val="auto"/>
        </w:rPr>
      </w:pPr>
    </w:p>
    <w:p>
      <w:pPr>
        <w:pStyle w:val="14"/>
        <w:spacing w:line="480" w:lineRule="exact"/>
        <w:rPr>
          <w:b/>
          <w:color w:val="auto"/>
          <w:sz w:val="24"/>
        </w:rPr>
      </w:pPr>
      <w:r>
        <w:rPr>
          <w:rFonts w:hint="eastAsia"/>
          <w:b/>
          <w:color w:val="auto"/>
          <w:sz w:val="24"/>
        </w:rPr>
        <w:t>致:广东晓君招标采购代理有限公司</w:t>
      </w:r>
    </w:p>
    <w:p>
      <w:pPr>
        <w:pStyle w:val="14"/>
        <w:spacing w:line="480" w:lineRule="exact"/>
        <w:rPr>
          <w:color w:val="auto"/>
          <w:sz w:val="24"/>
        </w:rPr>
      </w:pPr>
    </w:p>
    <w:p>
      <w:pPr>
        <w:pStyle w:val="14"/>
        <w:spacing w:line="480" w:lineRule="exact"/>
        <w:ind w:left="178" w:hanging="178" w:hangingChars="85"/>
        <w:rPr>
          <w:color w:val="auto"/>
        </w:rPr>
      </w:pPr>
      <w:r>
        <w:rPr>
          <w:rFonts w:hint="eastAsia"/>
          <w:color w:val="auto"/>
        </w:rPr>
        <w:t xml:space="preserve">      本授权书声明：</w:t>
      </w:r>
      <w:r>
        <w:rPr>
          <w:rFonts w:hint="eastAsia"/>
          <w:color w:val="auto"/>
          <w:u w:val="single"/>
        </w:rPr>
        <w:t xml:space="preserve">            </w:t>
      </w:r>
      <w:r>
        <w:rPr>
          <w:rFonts w:hint="eastAsia"/>
          <w:color w:val="auto"/>
        </w:rPr>
        <w:t>是注册于</w:t>
      </w:r>
      <w:r>
        <w:rPr>
          <w:rFonts w:hint="eastAsia"/>
          <w:color w:val="auto"/>
          <w:u w:val="single"/>
        </w:rPr>
        <w:t xml:space="preserve">             </w:t>
      </w:r>
      <w:r>
        <w:rPr>
          <w:rFonts w:hint="eastAsia"/>
          <w:color w:val="auto"/>
        </w:rPr>
        <w:t>（国家或地区）的</w:t>
      </w:r>
      <w:r>
        <w:rPr>
          <w:rFonts w:hint="eastAsia"/>
          <w:color w:val="auto"/>
          <w:u w:val="single"/>
        </w:rPr>
        <w:t xml:space="preserve">      </w:t>
      </w:r>
      <w:r>
        <w:rPr>
          <w:rFonts w:hint="eastAsia"/>
          <w:color w:val="auto"/>
        </w:rPr>
        <w:t>（报价人名称）的法定代表人。现任</w:t>
      </w:r>
      <w:r>
        <w:rPr>
          <w:rFonts w:hint="eastAsia"/>
          <w:color w:val="auto"/>
          <w:u w:val="single"/>
        </w:rPr>
        <w:t xml:space="preserve">        </w:t>
      </w:r>
      <w:r>
        <w:rPr>
          <w:rFonts w:hint="eastAsia"/>
          <w:color w:val="auto"/>
        </w:rPr>
        <w:t>职务。在</w:t>
      </w:r>
      <w:r>
        <w:rPr>
          <w:rFonts w:hint="eastAsia"/>
          <w:color w:val="auto"/>
          <w:u w:val="single"/>
        </w:rPr>
        <w:t xml:space="preserve">  （项目名称）           </w:t>
      </w:r>
      <w:r>
        <w:rPr>
          <w:rFonts w:hint="eastAsia"/>
          <w:color w:val="auto"/>
        </w:rPr>
        <w:t>项目报价[编号为：</w:t>
      </w:r>
      <w:r>
        <w:rPr>
          <w:rFonts w:hint="eastAsia"/>
          <w:color w:val="auto"/>
          <w:u w:val="single"/>
          <w:lang w:eastAsia="zh-CN"/>
        </w:rPr>
        <w:t>GDXJ18FCS1005</w:t>
      </w:r>
      <w:r>
        <w:rPr>
          <w:rFonts w:hint="eastAsia"/>
          <w:color w:val="auto"/>
          <w:u w:val="single"/>
        </w:rPr>
        <w:t xml:space="preserve"> </w:t>
      </w:r>
      <w:r>
        <w:rPr>
          <w:rFonts w:hint="eastAsia"/>
          <w:color w:val="auto"/>
        </w:rPr>
        <w:t>]的报价和合同执行过程中，现授权</w:t>
      </w:r>
      <w:r>
        <w:rPr>
          <w:rFonts w:hint="eastAsia"/>
          <w:color w:val="auto"/>
          <w:u w:val="single"/>
        </w:rPr>
        <w:t xml:space="preserve">            </w:t>
      </w:r>
      <w:r>
        <w:rPr>
          <w:rFonts w:hint="eastAsia"/>
          <w:color w:val="auto"/>
        </w:rPr>
        <w:t>（姓名、职务）作为我公司的全权代理人，以我方的名义处理一切与之有关的事宜。</w:t>
      </w:r>
    </w:p>
    <w:p>
      <w:pPr>
        <w:pStyle w:val="14"/>
        <w:spacing w:line="480" w:lineRule="exact"/>
        <w:rPr>
          <w:color w:val="auto"/>
        </w:rPr>
      </w:pPr>
    </w:p>
    <w:p>
      <w:pPr>
        <w:pStyle w:val="14"/>
        <w:spacing w:line="480" w:lineRule="exact"/>
        <w:rPr>
          <w:color w:val="auto"/>
        </w:rPr>
      </w:pPr>
    </w:p>
    <w:p>
      <w:pPr>
        <w:spacing w:line="480" w:lineRule="exact"/>
        <w:ind w:firstLine="570"/>
        <w:rPr>
          <w:rFonts w:ascii="宋体"/>
          <w:color w:val="auto"/>
        </w:rPr>
      </w:pPr>
      <w:r>
        <w:rPr>
          <w:rFonts w:hint="eastAsia" w:ascii="宋体"/>
          <w:color w:val="auto"/>
        </w:rPr>
        <w:t>本授权书于</w:t>
      </w:r>
      <w:r>
        <w:rPr>
          <w:rFonts w:hint="eastAsia" w:ascii="宋体"/>
          <w:color w:val="auto"/>
          <w:u w:val="single"/>
        </w:rPr>
        <w:t xml:space="preserve">       </w:t>
      </w:r>
      <w:r>
        <w:rPr>
          <w:rFonts w:hint="eastAsia" w:ascii="宋体"/>
          <w:color w:val="auto"/>
        </w:rPr>
        <w:t>年</w:t>
      </w:r>
      <w:r>
        <w:rPr>
          <w:rFonts w:hint="eastAsia" w:ascii="宋体"/>
          <w:color w:val="auto"/>
          <w:u w:val="single"/>
        </w:rPr>
        <w:t xml:space="preserve">    </w:t>
      </w:r>
      <w:r>
        <w:rPr>
          <w:rFonts w:hint="eastAsia" w:ascii="宋体"/>
          <w:color w:val="auto"/>
        </w:rPr>
        <w:t>月</w:t>
      </w:r>
      <w:r>
        <w:rPr>
          <w:rFonts w:hint="eastAsia" w:ascii="宋体"/>
          <w:color w:val="auto"/>
          <w:u w:val="single"/>
        </w:rPr>
        <w:t xml:space="preserve">    </w:t>
      </w:r>
      <w:r>
        <w:rPr>
          <w:rFonts w:hint="eastAsia" w:ascii="宋体"/>
          <w:color w:val="auto"/>
        </w:rPr>
        <w:t>日签字生效，特此声明。</w:t>
      </w:r>
    </w:p>
    <w:p>
      <w:pPr>
        <w:spacing w:line="480" w:lineRule="exact"/>
        <w:rPr>
          <w:rFonts w:ascii="宋体"/>
          <w:color w:val="auto"/>
        </w:rPr>
      </w:pPr>
    </w:p>
    <w:p>
      <w:pPr>
        <w:spacing w:line="480" w:lineRule="exact"/>
        <w:rPr>
          <w:rFonts w:ascii="宋体"/>
          <w:color w:val="auto"/>
        </w:rPr>
      </w:pPr>
    </w:p>
    <w:p>
      <w:pPr>
        <w:spacing w:line="480" w:lineRule="exact"/>
        <w:ind w:left="4599" w:leftChars="2190" w:firstLine="210" w:firstLineChars="100"/>
        <w:rPr>
          <w:rFonts w:ascii="宋体"/>
          <w:color w:val="auto"/>
        </w:rPr>
      </w:pPr>
      <w:r>
        <w:rPr>
          <w:rFonts w:hint="eastAsia" w:ascii="宋体"/>
          <w:color w:val="auto"/>
        </w:rPr>
        <w:t>报价人（公章）：</w:t>
      </w:r>
    </w:p>
    <w:p>
      <w:pPr>
        <w:spacing w:line="480" w:lineRule="exact"/>
        <w:ind w:left="4599" w:leftChars="2190"/>
        <w:rPr>
          <w:rFonts w:ascii="宋体"/>
          <w:color w:val="auto"/>
        </w:rPr>
      </w:pPr>
    </w:p>
    <w:p>
      <w:pPr>
        <w:spacing w:line="480" w:lineRule="exact"/>
        <w:ind w:left="4599" w:leftChars="2190" w:firstLine="210" w:firstLineChars="100"/>
        <w:rPr>
          <w:rFonts w:ascii="宋体"/>
          <w:color w:val="auto"/>
        </w:rPr>
      </w:pPr>
      <w:r>
        <w:rPr>
          <w:rFonts w:hint="eastAsia" w:ascii="宋体"/>
          <w:color w:val="auto"/>
        </w:rPr>
        <w:t>地        址：</w:t>
      </w:r>
    </w:p>
    <w:p>
      <w:pPr>
        <w:spacing w:line="480" w:lineRule="exact"/>
        <w:ind w:left="4599" w:leftChars="2190"/>
        <w:rPr>
          <w:rFonts w:ascii="宋体"/>
          <w:color w:val="auto"/>
        </w:rPr>
      </w:pPr>
    </w:p>
    <w:p>
      <w:pPr>
        <w:tabs>
          <w:tab w:val="left" w:pos="3780"/>
        </w:tabs>
        <w:spacing w:line="480" w:lineRule="exact"/>
        <w:ind w:left="4599" w:leftChars="2190" w:firstLine="210" w:firstLineChars="100"/>
        <w:rPr>
          <w:rFonts w:ascii="宋体"/>
          <w:color w:val="auto"/>
        </w:rPr>
      </w:pPr>
      <w:r>
        <w:rPr>
          <w:rFonts w:hint="eastAsia" w:ascii="宋体"/>
          <w:color w:val="auto"/>
        </w:rPr>
        <w:t>法定代表人（签字）：</w:t>
      </w:r>
    </w:p>
    <w:p>
      <w:pPr>
        <w:tabs>
          <w:tab w:val="left" w:pos="3885"/>
        </w:tabs>
        <w:spacing w:line="480" w:lineRule="exact"/>
        <w:ind w:left="4704" w:leftChars="2190" w:hanging="105"/>
        <w:rPr>
          <w:rFonts w:ascii="宋体"/>
          <w:color w:val="auto"/>
        </w:rPr>
      </w:pPr>
    </w:p>
    <w:p>
      <w:pPr>
        <w:tabs>
          <w:tab w:val="left" w:pos="3885"/>
        </w:tabs>
        <w:spacing w:line="480" w:lineRule="exact"/>
        <w:ind w:firstLine="4830" w:firstLineChars="2300"/>
        <w:rPr>
          <w:rFonts w:ascii="宋体"/>
          <w:color w:val="auto"/>
        </w:rPr>
      </w:pPr>
      <w:r>
        <w:rPr>
          <w:rFonts w:hint="eastAsia" w:ascii="宋体"/>
          <w:color w:val="auto"/>
        </w:rPr>
        <w:t>职        务：</w:t>
      </w:r>
    </w:p>
    <w:p>
      <w:pPr>
        <w:spacing w:line="480" w:lineRule="exact"/>
        <w:ind w:left="4599" w:leftChars="2190"/>
        <w:rPr>
          <w:rFonts w:ascii="宋体"/>
          <w:color w:val="auto"/>
          <w:spacing w:val="20"/>
        </w:rPr>
      </w:pPr>
    </w:p>
    <w:p>
      <w:pPr>
        <w:tabs>
          <w:tab w:val="left" w:pos="2041"/>
        </w:tabs>
        <w:spacing w:line="480" w:lineRule="exact"/>
        <w:ind w:left="4599" w:leftChars="2190" w:firstLine="105" w:firstLineChars="50"/>
        <w:rPr>
          <w:rFonts w:ascii="宋体"/>
          <w:color w:val="auto"/>
        </w:rPr>
      </w:pPr>
    </w:p>
    <w:p>
      <w:pPr>
        <w:tabs>
          <w:tab w:val="left" w:pos="2041"/>
        </w:tabs>
        <w:spacing w:line="480" w:lineRule="exact"/>
        <w:ind w:left="4599" w:leftChars="2190" w:firstLine="105" w:firstLineChars="50"/>
        <w:rPr>
          <w:rFonts w:ascii="宋体"/>
          <w:color w:val="auto"/>
        </w:rPr>
      </w:pPr>
    </w:p>
    <w:p>
      <w:pPr>
        <w:tabs>
          <w:tab w:val="left" w:pos="2041"/>
        </w:tabs>
        <w:spacing w:line="480" w:lineRule="exact"/>
        <w:ind w:left="4599" w:leftChars="2190" w:firstLine="105" w:firstLineChars="50"/>
        <w:rPr>
          <w:rFonts w:ascii="宋体"/>
          <w:color w:val="auto"/>
        </w:rPr>
      </w:pP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rPr>
          <w:rFonts w:ascii="Arial" w:hAnsi="Arial"/>
          <w:b/>
          <w:color w:val="auto"/>
          <w:sz w:val="24"/>
        </w:rPr>
      </w:pPr>
    </w:p>
    <w:p>
      <w:pPr>
        <w:spacing w:line="480" w:lineRule="exact"/>
        <w:outlineLvl w:val="0"/>
        <w:rPr>
          <w:rFonts w:ascii="Arial" w:hAnsi="Arial"/>
          <w:b/>
          <w:color w:val="auto"/>
          <w:sz w:val="32"/>
          <w:szCs w:val="32"/>
        </w:rPr>
      </w:pPr>
      <w:r>
        <w:rPr>
          <w:rFonts w:hint="eastAsia" w:ascii="Arial" w:hAnsi="Arial"/>
          <w:b/>
          <w:color w:val="auto"/>
          <w:sz w:val="32"/>
          <w:szCs w:val="32"/>
          <w:lang w:val="en-US" w:eastAsia="zh-CN"/>
        </w:rPr>
        <w:t>3</w:t>
      </w:r>
      <w:r>
        <w:rPr>
          <w:rFonts w:hint="eastAsia" w:ascii="Arial" w:hAnsi="Arial"/>
          <w:b/>
          <w:color w:val="auto"/>
          <w:sz w:val="32"/>
          <w:szCs w:val="32"/>
        </w:rPr>
        <w:t>．资格声明书格式</w:t>
      </w:r>
    </w:p>
    <w:p>
      <w:pPr>
        <w:spacing w:line="480" w:lineRule="exact"/>
        <w:rPr>
          <w:rFonts w:ascii="Arial" w:hAnsi="Arial"/>
          <w:b/>
          <w:color w:val="auto"/>
          <w:sz w:val="24"/>
        </w:rPr>
      </w:pPr>
    </w:p>
    <w:p>
      <w:pPr>
        <w:pStyle w:val="14"/>
        <w:spacing w:line="480" w:lineRule="exact"/>
        <w:jc w:val="center"/>
        <w:rPr>
          <w:rFonts w:ascii="Arial" w:hAnsi="Arial"/>
          <w:b/>
          <w:color w:val="auto"/>
          <w:sz w:val="32"/>
          <w:szCs w:val="32"/>
        </w:rPr>
      </w:pPr>
      <w:r>
        <w:rPr>
          <w:rFonts w:hint="eastAsia" w:ascii="Arial" w:hAnsi="Arial"/>
          <w:b/>
          <w:color w:val="auto"/>
          <w:sz w:val="32"/>
          <w:szCs w:val="32"/>
        </w:rPr>
        <w:t>资格声明</w:t>
      </w:r>
      <w:r>
        <w:rPr>
          <w:rFonts w:hint="eastAsia" w:ascii="Arial" w:hAnsi="Arial"/>
          <w:b/>
          <w:color w:val="auto"/>
          <w:sz w:val="32"/>
          <w:szCs w:val="32"/>
        </w:rPr>
        <w:cr/>
      </w:r>
    </w:p>
    <w:p>
      <w:pPr>
        <w:pStyle w:val="14"/>
        <w:spacing w:line="480" w:lineRule="exact"/>
        <w:rPr>
          <w:rFonts w:ascii="Arial" w:hAnsi="Arial"/>
          <w:color w:val="auto"/>
        </w:rPr>
      </w:pPr>
      <w:r>
        <w:rPr>
          <w:rFonts w:hint="eastAsia" w:ascii="Arial" w:hAnsi="Arial"/>
          <w:b/>
          <w:color w:val="auto"/>
          <w:sz w:val="24"/>
        </w:rPr>
        <w:t>致:广东晓君招标采购代理有限公司</w:t>
      </w:r>
    </w:p>
    <w:p>
      <w:pPr>
        <w:pStyle w:val="14"/>
        <w:spacing w:line="480" w:lineRule="exact"/>
        <w:rPr>
          <w:rFonts w:ascii="Arial" w:hAnsi="Arial"/>
          <w:color w:val="auto"/>
        </w:rPr>
      </w:pPr>
    </w:p>
    <w:p>
      <w:pPr>
        <w:pStyle w:val="14"/>
        <w:spacing w:line="480" w:lineRule="exact"/>
        <w:ind w:firstLine="420"/>
        <w:rPr>
          <w:rFonts w:ascii="Arial" w:hAnsi="Arial"/>
          <w:color w:val="auto"/>
        </w:rPr>
      </w:pPr>
      <w:r>
        <w:rPr>
          <w:rFonts w:hint="eastAsia" w:ascii="Arial" w:hAnsi="Arial"/>
          <w:color w:val="auto"/>
        </w:rPr>
        <w:t>为响应你方组织的</w:t>
      </w:r>
      <w:r>
        <w:rPr>
          <w:rFonts w:hint="eastAsia" w:ascii="Arial" w:hAnsi="Arial"/>
          <w:color w:val="auto"/>
          <w:u w:val="single"/>
        </w:rPr>
        <w:t xml:space="preserve">    （项目名称）      </w:t>
      </w:r>
      <w:r>
        <w:rPr>
          <w:rFonts w:hint="eastAsia" w:ascii="Arial" w:hAnsi="Arial"/>
          <w:color w:val="auto"/>
          <w:kern w:val="28"/>
        </w:rPr>
        <w:t>采购项目的</w:t>
      </w:r>
      <w:r>
        <w:rPr>
          <w:rFonts w:hint="eastAsia" w:ascii="Arial" w:hAnsi="Arial"/>
          <w:color w:val="auto"/>
        </w:rPr>
        <w:t>供货及相关服务的磋商[采购编号为：</w:t>
      </w:r>
      <w:r>
        <w:rPr>
          <w:rFonts w:hint="eastAsia" w:ascii="Arial" w:hAnsi="Arial"/>
          <w:color w:val="auto"/>
          <w:u w:val="single"/>
        </w:rPr>
        <w:t xml:space="preserve">                </w:t>
      </w:r>
      <w:r>
        <w:rPr>
          <w:rFonts w:hint="eastAsia" w:ascii="Arial" w:hAnsi="Arial"/>
          <w:color w:val="auto"/>
        </w:rPr>
        <w:t>]，我方愿参与报价。</w:t>
      </w:r>
    </w:p>
    <w:p>
      <w:pPr>
        <w:pStyle w:val="14"/>
        <w:spacing w:line="480" w:lineRule="exact"/>
        <w:ind w:firstLine="420"/>
        <w:rPr>
          <w:rFonts w:ascii="Arial" w:hAnsi="Arial"/>
          <w:color w:val="auto"/>
        </w:rPr>
      </w:pPr>
      <w:r>
        <w:rPr>
          <w:rFonts w:hint="eastAsia" w:ascii="Arial" w:hAnsi="Arial"/>
          <w:color w:val="auto"/>
        </w:rPr>
        <w:t>我方作为</w:t>
      </w:r>
      <w:r>
        <w:rPr>
          <w:rFonts w:hint="eastAsia" w:ascii="Arial" w:hAnsi="Arial"/>
          <w:color w:val="auto"/>
          <w:u w:val="single"/>
        </w:rPr>
        <w:t xml:space="preserve">  </w:t>
      </w:r>
      <w:r>
        <w:rPr>
          <w:rFonts w:hint="eastAsia" w:hAnsi="宋体"/>
          <w:color w:val="auto"/>
          <w:u w:val="single"/>
        </w:rPr>
        <w:t>（报价人）</w:t>
      </w:r>
      <w:r>
        <w:rPr>
          <w:rFonts w:hint="eastAsia" w:ascii="Arial" w:hAnsi="Arial"/>
          <w:color w:val="auto"/>
          <w:u w:val="single"/>
        </w:rPr>
        <w:t xml:space="preserve">   </w:t>
      </w:r>
      <w:r>
        <w:rPr>
          <w:rFonts w:hint="eastAsia"/>
          <w:color w:val="auto"/>
        </w:rPr>
        <w:t>是在法律、财务和运作上独立于采购人、采购代理机构的报价人，</w:t>
      </w:r>
      <w:r>
        <w:rPr>
          <w:rFonts w:hint="eastAsia" w:ascii="Arial" w:hAnsi="Arial"/>
          <w:color w:val="auto"/>
        </w:rPr>
        <w:t>提供“用户需求书”中全部的货物及相关服务，提交所有文件和全部说明是真实的和正确的。</w:t>
      </w:r>
    </w:p>
    <w:p>
      <w:pPr>
        <w:pStyle w:val="14"/>
        <w:spacing w:line="480" w:lineRule="exact"/>
        <w:ind w:firstLine="420"/>
        <w:rPr>
          <w:rFonts w:ascii="Arial" w:hAnsi="Arial"/>
          <w:color w:val="auto"/>
        </w:rPr>
      </w:pPr>
      <w:r>
        <w:rPr>
          <w:rFonts w:hint="eastAsia" w:ascii="Arial" w:hAnsi="Arial"/>
          <w:color w:val="auto"/>
        </w:rPr>
        <w:t>我方</w:t>
      </w:r>
      <w:r>
        <w:rPr>
          <w:rFonts w:hint="eastAsia" w:hAnsi="宋体"/>
          <w:color w:val="auto"/>
        </w:rPr>
        <w:t>符合法律、行政法规规定的其他条件，满足招标要求。</w:t>
      </w:r>
    </w:p>
    <w:p>
      <w:pPr>
        <w:pStyle w:val="14"/>
        <w:spacing w:line="480" w:lineRule="exact"/>
        <w:ind w:firstLine="420"/>
        <w:rPr>
          <w:rFonts w:ascii="Arial" w:hAnsi="Arial"/>
          <w:color w:val="auto"/>
        </w:rPr>
      </w:pPr>
      <w:r>
        <w:rPr>
          <w:rFonts w:hint="eastAsia" w:ascii="Arial" w:hAnsi="Arial"/>
          <w:color w:val="auto"/>
        </w:rPr>
        <w:t>我方理解你方可能还要求提供更进一步的资格资料，并愿意应你方的要求提交。</w:t>
      </w:r>
    </w:p>
    <w:p>
      <w:pPr>
        <w:pStyle w:val="14"/>
        <w:spacing w:line="480" w:lineRule="exact"/>
        <w:rPr>
          <w:rFonts w:ascii="Arial" w:hAnsi="Arial"/>
          <w:color w:val="auto"/>
        </w:rPr>
      </w:pPr>
    </w:p>
    <w:p>
      <w:pPr>
        <w:pStyle w:val="14"/>
        <w:spacing w:line="480" w:lineRule="exact"/>
        <w:rPr>
          <w:rFonts w:ascii="Arial" w:hAnsi="Arial"/>
          <w:color w:val="auto"/>
        </w:rPr>
      </w:pPr>
    </w:p>
    <w:p>
      <w:pPr>
        <w:pStyle w:val="14"/>
        <w:spacing w:line="480" w:lineRule="exact"/>
        <w:rPr>
          <w:rFonts w:ascii="Arial" w:hAnsi="Arial"/>
          <w:color w:val="auto"/>
        </w:rPr>
      </w:pPr>
    </w:p>
    <w:p>
      <w:pPr>
        <w:pStyle w:val="14"/>
        <w:spacing w:line="480" w:lineRule="exact"/>
        <w:rPr>
          <w:rFonts w:ascii="Arial" w:hAnsi="Arial"/>
          <w:color w:val="auto"/>
        </w:rPr>
      </w:pPr>
      <w:r>
        <w:rPr>
          <w:rFonts w:hint="eastAsia" w:ascii="Arial" w:hAnsi="Arial"/>
          <w:color w:val="auto"/>
        </w:rPr>
        <w:t>报价人（公章）：</w:t>
      </w:r>
      <w:r>
        <w:rPr>
          <w:rFonts w:hint="eastAsia" w:ascii="Arial" w:hAnsi="Arial"/>
          <w:color w:val="auto"/>
          <w:u w:val="single"/>
        </w:rPr>
        <w:t xml:space="preserve">                       </w:t>
      </w:r>
      <w:r>
        <w:rPr>
          <w:rFonts w:ascii="Arial" w:hAnsi="Arial"/>
          <w:color w:val="auto"/>
          <w:u w:val="single"/>
        </w:rPr>
        <w:t>.</w:t>
      </w:r>
    </w:p>
    <w:p>
      <w:pPr>
        <w:pStyle w:val="14"/>
        <w:spacing w:line="480" w:lineRule="exact"/>
        <w:rPr>
          <w:rFonts w:ascii="Arial" w:hAnsi="Arial"/>
          <w:color w:val="auto"/>
        </w:rPr>
      </w:pPr>
    </w:p>
    <w:p>
      <w:pPr>
        <w:pStyle w:val="14"/>
        <w:spacing w:line="480" w:lineRule="exact"/>
        <w:rPr>
          <w:rFonts w:ascii="Arial" w:hAnsi="Arial"/>
          <w:color w:val="auto"/>
        </w:rPr>
      </w:pPr>
      <w:r>
        <w:rPr>
          <w:rFonts w:hint="eastAsia" w:ascii="Arial" w:hAnsi="Arial"/>
          <w:color w:val="auto"/>
        </w:rPr>
        <w:t>法 定 地 址：</w:t>
      </w:r>
      <w:r>
        <w:rPr>
          <w:rFonts w:hint="eastAsia" w:ascii="Arial" w:hAnsi="Arial"/>
          <w:color w:val="auto"/>
          <w:u w:val="single"/>
        </w:rPr>
        <w:t xml:space="preserve">                             </w:t>
      </w:r>
      <w:r>
        <w:rPr>
          <w:rFonts w:hint="eastAsia" w:ascii="Arial" w:hAnsi="Arial"/>
          <w:color w:val="auto"/>
        </w:rPr>
        <w:t xml:space="preserve">  </w:t>
      </w:r>
    </w:p>
    <w:p>
      <w:pPr>
        <w:pStyle w:val="14"/>
        <w:spacing w:line="480" w:lineRule="exact"/>
        <w:rPr>
          <w:rFonts w:ascii="Arial" w:hAnsi="Arial"/>
          <w:color w:val="auto"/>
        </w:rPr>
      </w:pPr>
      <w:r>
        <w:rPr>
          <w:rFonts w:hint="eastAsia" w:ascii="Arial" w:hAnsi="Arial"/>
          <w:color w:val="auto"/>
        </w:rPr>
        <w:t>邮       编：</w:t>
      </w:r>
      <w:r>
        <w:rPr>
          <w:rFonts w:ascii="Arial" w:hAnsi="Arial"/>
          <w:color w:val="auto"/>
          <w:u w:val="single"/>
        </w:rPr>
        <w:t xml:space="preserve">                      </w:t>
      </w:r>
      <w:r>
        <w:rPr>
          <w:rFonts w:ascii="Arial" w:hAnsi="Arial"/>
          <w:color w:val="auto"/>
        </w:rPr>
        <w:t>.</w:t>
      </w:r>
    </w:p>
    <w:p>
      <w:pPr>
        <w:pStyle w:val="14"/>
        <w:spacing w:line="480" w:lineRule="exact"/>
        <w:rPr>
          <w:rFonts w:ascii="Arial" w:hAnsi="Arial"/>
          <w:color w:val="auto"/>
        </w:rPr>
      </w:pPr>
    </w:p>
    <w:p>
      <w:pPr>
        <w:pStyle w:val="14"/>
        <w:spacing w:line="480" w:lineRule="exact"/>
        <w:rPr>
          <w:rFonts w:ascii="Arial" w:hAnsi="Arial"/>
          <w:color w:val="auto"/>
        </w:rPr>
      </w:pPr>
      <w:r>
        <w:rPr>
          <w:rFonts w:hint="eastAsia" w:ascii="Arial" w:hAnsi="Arial"/>
          <w:color w:val="auto"/>
        </w:rPr>
        <w:t>授权代表（签字）：</w:t>
      </w:r>
      <w:r>
        <w:rPr>
          <w:rFonts w:hint="eastAsia" w:ascii="Arial" w:hAnsi="Arial"/>
          <w:color w:val="auto"/>
          <w:u w:val="single"/>
        </w:rPr>
        <w:t xml:space="preserve">                   </w:t>
      </w:r>
      <w:r>
        <w:rPr>
          <w:rFonts w:hint="eastAsia" w:ascii="Arial" w:hAnsi="Arial"/>
          <w:color w:val="auto"/>
        </w:rPr>
        <w:t xml:space="preserve"> 签字人姓名（印刷体）</w:t>
      </w:r>
      <w:r>
        <w:rPr>
          <w:rFonts w:ascii="Arial" w:hAnsi="Arial"/>
          <w:color w:val="auto"/>
          <w:u w:val="single"/>
        </w:rPr>
        <w:t xml:space="preserve">                 </w:t>
      </w:r>
      <w:r>
        <w:rPr>
          <w:rFonts w:ascii="Arial" w:hAnsi="Arial"/>
          <w:color w:val="auto"/>
        </w:rPr>
        <w:t>.</w:t>
      </w:r>
    </w:p>
    <w:p>
      <w:pPr>
        <w:pStyle w:val="14"/>
        <w:spacing w:line="480" w:lineRule="exact"/>
        <w:rPr>
          <w:rFonts w:ascii="Arial" w:hAnsi="Arial"/>
          <w:color w:val="auto"/>
        </w:rPr>
      </w:pPr>
    </w:p>
    <w:p>
      <w:pPr>
        <w:pStyle w:val="14"/>
        <w:spacing w:line="480" w:lineRule="exact"/>
        <w:rPr>
          <w:rFonts w:ascii="Arial" w:hAnsi="Arial"/>
          <w:color w:val="auto"/>
        </w:rPr>
      </w:pPr>
      <w:r>
        <w:rPr>
          <w:rFonts w:hint="eastAsia" w:ascii="Arial" w:hAnsi="Arial"/>
          <w:color w:val="auto"/>
        </w:rPr>
        <w:t>电       话：</w:t>
      </w:r>
      <w:r>
        <w:rPr>
          <w:rFonts w:hint="eastAsia" w:ascii="Arial" w:hAnsi="Arial"/>
          <w:color w:val="auto"/>
          <w:u w:val="single"/>
        </w:rPr>
        <w:t xml:space="preserve">                             </w:t>
      </w:r>
      <w:r>
        <w:rPr>
          <w:rFonts w:hint="eastAsia" w:ascii="Arial" w:hAnsi="Arial"/>
          <w:color w:val="auto"/>
        </w:rPr>
        <w:t xml:space="preserve"> </w:t>
      </w:r>
    </w:p>
    <w:p>
      <w:pPr>
        <w:pStyle w:val="14"/>
        <w:spacing w:line="480" w:lineRule="exact"/>
        <w:rPr>
          <w:rFonts w:ascii="Arial" w:hAnsi="Arial"/>
          <w:color w:val="auto"/>
        </w:rPr>
      </w:pPr>
      <w:r>
        <w:rPr>
          <w:rFonts w:hint="eastAsia" w:ascii="Arial" w:hAnsi="Arial"/>
          <w:color w:val="auto"/>
        </w:rPr>
        <w:t>传       真：</w:t>
      </w:r>
      <w:r>
        <w:rPr>
          <w:rFonts w:ascii="Arial" w:hAnsi="Arial"/>
          <w:color w:val="auto"/>
          <w:u w:val="single"/>
        </w:rPr>
        <w:t xml:space="preserve">                      </w:t>
      </w:r>
      <w:r>
        <w:rPr>
          <w:rFonts w:ascii="Arial" w:hAnsi="Arial"/>
          <w:color w:val="auto"/>
        </w:rPr>
        <w:t>.</w:t>
      </w:r>
    </w:p>
    <w:p>
      <w:pPr>
        <w:pStyle w:val="14"/>
        <w:spacing w:line="480" w:lineRule="exact"/>
        <w:rPr>
          <w:color w:val="auto"/>
        </w:rPr>
        <w:sectPr>
          <w:headerReference r:id="rId16" w:type="default"/>
          <w:footerReference r:id="rId17" w:type="default"/>
          <w:pgSz w:w="11906" w:h="16838"/>
          <w:pgMar w:top="1440" w:right="1418" w:bottom="1440" w:left="1418" w:header="851" w:footer="851" w:gutter="0"/>
          <w:pgNumType w:fmt="decimal"/>
          <w:cols w:space="720" w:num="1"/>
          <w:docGrid w:linePitch="312" w:charSpace="0"/>
        </w:sectPr>
      </w:pPr>
    </w:p>
    <w:p>
      <w:pPr>
        <w:spacing w:line="588" w:lineRule="exact"/>
        <w:rPr>
          <w:rFonts w:ascii="宋体" w:hAnsi="宋体"/>
          <w:b/>
          <w:color w:val="auto"/>
          <w:spacing w:val="6"/>
          <w:szCs w:val="21"/>
        </w:rPr>
      </w:pPr>
      <w:r>
        <w:rPr>
          <w:rFonts w:hint="eastAsia" w:ascii="宋体" w:hAnsi="宋体"/>
          <w:color w:val="auto"/>
          <w:spacing w:val="6"/>
          <w:szCs w:val="21"/>
        </w:rPr>
        <w:t>附：（注：本声明函对中小企业参与政府采购活动时适用）</w:t>
      </w:r>
    </w:p>
    <w:p>
      <w:pPr>
        <w:spacing w:line="588" w:lineRule="exact"/>
        <w:jc w:val="center"/>
        <w:rPr>
          <w:rFonts w:ascii="宋体" w:hAnsi="宋体"/>
          <w:b/>
          <w:color w:val="auto"/>
          <w:spacing w:val="6"/>
          <w:sz w:val="28"/>
          <w:szCs w:val="28"/>
        </w:rPr>
      </w:pPr>
      <w:r>
        <w:rPr>
          <w:rFonts w:hint="eastAsia" w:ascii="宋体" w:hAnsi="宋体"/>
          <w:b/>
          <w:color w:val="auto"/>
          <w:spacing w:val="6"/>
          <w:sz w:val="28"/>
          <w:szCs w:val="28"/>
        </w:rPr>
        <w:t>中小企业声明函</w:t>
      </w:r>
    </w:p>
    <w:p>
      <w:pPr>
        <w:rPr>
          <w:rFonts w:ascii="宋体" w:hAnsi="宋体"/>
          <w:b/>
          <w:color w:val="auto"/>
          <w:spacing w:val="6"/>
          <w:szCs w:val="21"/>
        </w:rPr>
      </w:pPr>
    </w:p>
    <w:p>
      <w:pPr>
        <w:spacing w:line="588" w:lineRule="exact"/>
        <w:ind w:firstLine="444" w:firstLineChars="200"/>
        <w:rPr>
          <w:rFonts w:ascii="宋体" w:hAnsi="宋体"/>
          <w:color w:val="auto"/>
          <w:spacing w:val="6"/>
          <w:szCs w:val="21"/>
        </w:rPr>
      </w:pPr>
      <w:r>
        <w:rPr>
          <w:rFonts w:hint="eastAsia" w:ascii="宋体" w:hAnsi="宋体"/>
          <w:color w:val="auto"/>
          <w:spacing w:val="6"/>
          <w:szCs w:val="21"/>
        </w:rPr>
        <w:t>本公司郑重声明，根据《政府采购促进中小企业发展暂行办法》（财库[2011]181号）的规定，本公司为______（请填写：中型、小型、微型）企业。即，本公司同时满足以下条件：</w:t>
      </w:r>
    </w:p>
    <w:p>
      <w:pPr>
        <w:spacing w:line="588" w:lineRule="exact"/>
        <w:ind w:firstLine="444" w:firstLineChars="200"/>
        <w:rPr>
          <w:rFonts w:ascii="宋体" w:hAnsi="宋体"/>
          <w:color w:val="auto"/>
          <w:spacing w:val="6"/>
          <w:szCs w:val="21"/>
        </w:rPr>
      </w:pPr>
      <w:r>
        <w:rPr>
          <w:rFonts w:hint="eastAsia" w:ascii="宋体" w:hAnsi="宋体"/>
          <w:color w:val="auto"/>
          <w:spacing w:val="6"/>
          <w:szCs w:val="21"/>
        </w:rPr>
        <w:t>1.根据《工业和信息化部、国家统计局、国家发展和改革委员会、财政部关于印发中小企业划型标准规定的通知》（工信部联企业[2011]300号）规定的划分标准，本公司为______（请填写：中型、小型、微型）企业。</w:t>
      </w:r>
    </w:p>
    <w:p>
      <w:pPr>
        <w:spacing w:line="480" w:lineRule="exact"/>
        <w:ind w:firstLine="444" w:firstLineChars="200"/>
        <w:rPr>
          <w:rFonts w:ascii="宋体" w:hAnsi="宋体"/>
          <w:color w:val="auto"/>
          <w:spacing w:val="6"/>
          <w:szCs w:val="21"/>
        </w:rPr>
      </w:pPr>
      <w:r>
        <w:rPr>
          <w:rFonts w:hint="eastAsia" w:ascii="宋体" w:hAnsi="宋体"/>
          <w:color w:val="auto"/>
          <w:spacing w:val="6"/>
          <w:szCs w:val="21"/>
        </w:rPr>
        <w:t>2. 本公司参加______单位的______项目采购活动</w:t>
      </w:r>
      <w:r>
        <w:rPr>
          <w:rFonts w:hint="eastAsia" w:ascii="宋体" w:hAnsi="宋体"/>
          <w:color w:val="auto"/>
          <w:spacing w:val="6"/>
          <w:szCs w:val="21"/>
          <w:u w:val="single"/>
        </w:rPr>
        <w:t>提供本企业制造的货物，由本企业承担项目、提供服务</w:t>
      </w:r>
      <w:r>
        <w:rPr>
          <w:rFonts w:hint="eastAsia" w:ascii="宋体" w:hAnsi="宋体"/>
          <w:color w:val="auto"/>
          <w:spacing w:val="6"/>
          <w:szCs w:val="21"/>
        </w:rPr>
        <w:t>，</w:t>
      </w:r>
      <w:r>
        <w:rPr>
          <w:rFonts w:hint="eastAsia" w:ascii="宋体" w:hAnsi="宋体"/>
          <w:color w:val="auto"/>
          <w:spacing w:val="6"/>
          <w:szCs w:val="21"/>
          <w:u w:val="single"/>
        </w:rPr>
        <w:t>或者提供其他______（请填写：中型、小型、微型）企业制造的货物</w:t>
      </w:r>
      <w:r>
        <w:rPr>
          <w:rFonts w:hint="eastAsia" w:ascii="宋体" w:hAnsi="宋体"/>
          <w:color w:val="auto"/>
          <w:spacing w:val="6"/>
          <w:szCs w:val="21"/>
        </w:rPr>
        <w:t>。本条所称货物不包括使用大型企业注册商标的货物。</w:t>
      </w:r>
    </w:p>
    <w:p>
      <w:pPr>
        <w:spacing w:line="480" w:lineRule="exact"/>
        <w:ind w:firstLine="444" w:firstLineChars="200"/>
        <w:rPr>
          <w:rFonts w:ascii="宋体" w:hAnsi="宋体"/>
          <w:color w:val="auto"/>
          <w:spacing w:val="6"/>
          <w:szCs w:val="21"/>
        </w:rPr>
      </w:pPr>
      <w:r>
        <w:rPr>
          <w:rFonts w:hint="eastAsia" w:ascii="宋体" w:hAnsi="宋体"/>
          <w:color w:val="auto"/>
          <w:spacing w:val="6"/>
          <w:szCs w:val="21"/>
        </w:rPr>
        <w:t>本公司对上述声明的真实性负责。如有虚假，将依法承担相应责任。</w:t>
      </w:r>
    </w:p>
    <w:p>
      <w:pPr>
        <w:spacing w:line="480" w:lineRule="exact"/>
        <w:ind w:firstLine="420" w:firstLineChars="200"/>
        <w:rPr>
          <w:rFonts w:ascii="宋体" w:hAnsi="宋体"/>
          <w:color w:val="auto"/>
          <w:spacing w:val="6"/>
          <w:szCs w:val="21"/>
        </w:rPr>
      </w:pPr>
      <w:r>
        <w:rPr>
          <w:rFonts w:hint="eastAsia" w:ascii="宋体" w:hAnsi="宋体"/>
          <w:color w:val="auto"/>
          <w:szCs w:val="21"/>
        </w:rPr>
        <w:t>属于《中小型企业》的供应商必须提供由《工业和信息化部、国家统计局、国家发展和改革委员会、财政部》出具的证明文件并加盖公章为准，如不提供的评审时不能享受相应的价格扣除。</w:t>
      </w:r>
    </w:p>
    <w:p>
      <w:pPr>
        <w:spacing w:line="588" w:lineRule="exact"/>
        <w:ind w:firstLine="444" w:firstLineChars="200"/>
        <w:rPr>
          <w:rFonts w:ascii="宋体" w:hAnsi="宋体"/>
          <w:color w:val="auto"/>
          <w:spacing w:val="6"/>
          <w:szCs w:val="21"/>
        </w:rPr>
      </w:pPr>
    </w:p>
    <w:p>
      <w:pPr>
        <w:tabs>
          <w:tab w:val="left" w:pos="4860"/>
        </w:tabs>
        <w:spacing w:line="588" w:lineRule="exact"/>
        <w:ind w:right="1560" w:firstLine="444" w:firstLineChars="200"/>
        <w:jc w:val="center"/>
        <w:rPr>
          <w:rFonts w:ascii="宋体" w:hAnsi="宋体"/>
          <w:color w:val="auto"/>
          <w:spacing w:val="6"/>
          <w:szCs w:val="21"/>
        </w:rPr>
      </w:pPr>
    </w:p>
    <w:p>
      <w:pPr>
        <w:tabs>
          <w:tab w:val="left" w:pos="4860"/>
        </w:tabs>
        <w:spacing w:line="588" w:lineRule="exact"/>
        <w:ind w:right="1560" w:firstLine="444" w:firstLineChars="200"/>
        <w:jc w:val="center"/>
        <w:rPr>
          <w:rFonts w:ascii="宋体" w:hAnsi="宋体"/>
          <w:color w:val="auto"/>
          <w:spacing w:val="6"/>
          <w:szCs w:val="21"/>
        </w:rPr>
      </w:pPr>
      <w:r>
        <w:rPr>
          <w:rFonts w:hint="eastAsia" w:ascii="宋体" w:hAnsi="宋体"/>
          <w:color w:val="auto"/>
          <w:spacing w:val="6"/>
          <w:szCs w:val="21"/>
        </w:rPr>
        <w:t xml:space="preserve">              企业名称（盖章）： </w:t>
      </w:r>
    </w:p>
    <w:p>
      <w:pPr>
        <w:tabs>
          <w:tab w:val="left" w:pos="4860"/>
        </w:tabs>
        <w:ind w:right="1559" w:firstLine="444" w:firstLineChars="200"/>
        <w:jc w:val="center"/>
        <w:rPr>
          <w:rFonts w:ascii="宋体" w:hAnsi="宋体"/>
          <w:color w:val="auto"/>
          <w:spacing w:val="6"/>
          <w:szCs w:val="21"/>
        </w:rPr>
      </w:pPr>
    </w:p>
    <w:p>
      <w:pPr>
        <w:spacing w:line="360" w:lineRule="auto"/>
        <w:rPr>
          <w:rFonts w:ascii="宋体" w:hAnsi="宋体"/>
          <w:color w:val="auto"/>
          <w:spacing w:val="6"/>
          <w:szCs w:val="21"/>
        </w:rPr>
      </w:pPr>
      <w:r>
        <w:rPr>
          <w:rFonts w:hint="eastAsia" w:ascii="宋体" w:hAnsi="宋体"/>
          <w:color w:val="auto"/>
          <w:spacing w:val="6"/>
          <w:szCs w:val="21"/>
        </w:rPr>
        <w:t xml:space="preserve">                                 日  期：</w:t>
      </w:r>
    </w:p>
    <w:p>
      <w:pPr>
        <w:spacing w:line="360" w:lineRule="auto"/>
        <w:rPr>
          <w:rFonts w:ascii="宋体" w:hAnsi="宋体"/>
          <w:color w:val="auto"/>
          <w:spacing w:val="6"/>
          <w:szCs w:val="21"/>
        </w:rPr>
      </w:pPr>
    </w:p>
    <w:p>
      <w:pPr>
        <w:tabs>
          <w:tab w:val="left" w:pos="4860"/>
        </w:tabs>
        <w:spacing w:line="588" w:lineRule="exact"/>
        <w:ind w:right="1560"/>
        <w:rPr>
          <w:color w:val="auto"/>
        </w:rPr>
      </w:pPr>
      <w:bookmarkStart w:id="26" w:name="_Toc42951054"/>
    </w:p>
    <w:p>
      <w:pPr>
        <w:tabs>
          <w:tab w:val="left" w:pos="4860"/>
        </w:tabs>
        <w:spacing w:line="588" w:lineRule="exact"/>
        <w:ind w:right="1560"/>
        <w:rPr>
          <w:rFonts w:ascii="仿宋_GB2312" w:eastAsia="仿宋_GB2312"/>
          <w:color w:val="auto"/>
          <w:spacing w:val="6"/>
          <w:sz w:val="28"/>
          <w:szCs w:val="28"/>
        </w:rPr>
      </w:pPr>
      <w:r>
        <w:rPr>
          <w:color w:val="auto"/>
        </w:rPr>
        <w:br w:type="page"/>
      </w:r>
      <w:r>
        <w:rPr>
          <w:rFonts w:hint="eastAsia" w:ascii="Arial" w:hAnsi="Arial"/>
          <w:b/>
          <w:color w:val="auto"/>
          <w:sz w:val="32"/>
          <w:szCs w:val="32"/>
          <w:lang w:val="en-US" w:eastAsia="zh-CN"/>
        </w:rPr>
        <w:t>4</w:t>
      </w:r>
      <w:r>
        <w:rPr>
          <w:rFonts w:hint="eastAsia" w:ascii="Arial" w:hAnsi="Arial"/>
          <w:b/>
          <w:color w:val="auto"/>
          <w:sz w:val="32"/>
          <w:szCs w:val="32"/>
        </w:rPr>
        <w:t>．资格证明文件格式</w:t>
      </w:r>
      <w:bookmarkEnd w:id="26"/>
    </w:p>
    <w:p>
      <w:pPr>
        <w:spacing w:line="480" w:lineRule="exact"/>
        <w:rPr>
          <w:rFonts w:ascii="宋体"/>
          <w:color w:val="auto"/>
        </w:rPr>
      </w:pPr>
      <w:r>
        <w:rPr>
          <w:rFonts w:hint="eastAsia" w:ascii="宋体"/>
          <w:color w:val="auto"/>
        </w:rPr>
        <w:t xml:space="preserve"> [说明]报价人应按照磋商文件的要求做出全面的响应。其内容应包括但不限于以下各项：</w:t>
      </w:r>
    </w:p>
    <w:p>
      <w:pPr>
        <w:adjustRightInd w:val="0"/>
        <w:snapToGrid w:val="0"/>
        <w:spacing w:line="360" w:lineRule="auto"/>
        <w:rPr>
          <w:rFonts w:cs="Arial"/>
          <w:color w:val="auto"/>
        </w:rPr>
      </w:pPr>
      <w:r>
        <w:rPr>
          <w:rFonts w:hint="eastAsia" w:ascii="宋体"/>
          <w:color w:val="auto"/>
        </w:rPr>
        <w:t xml:space="preserve"> </w:t>
      </w:r>
    </w:p>
    <w:p>
      <w:pPr>
        <w:spacing w:line="480" w:lineRule="exact"/>
        <w:rPr>
          <w:rFonts w:hint="eastAsia"/>
          <w:color w:val="auto"/>
        </w:rPr>
      </w:pPr>
      <w:r>
        <w:rPr>
          <w:rFonts w:hint="eastAsia"/>
          <w:color w:val="auto"/>
          <w:lang w:val="en-US" w:eastAsia="zh-CN"/>
        </w:rPr>
        <w:t>4.1</w:t>
      </w:r>
      <w:r>
        <w:rPr>
          <w:rFonts w:hint="eastAsia"/>
          <w:color w:val="auto"/>
        </w:rPr>
        <w:t>经年审的企业法人营业执照、税务登记证副本（国、地）、企业组织机构代码证等证明文件复印件</w:t>
      </w:r>
      <w:r>
        <w:rPr>
          <w:rFonts w:hint="eastAsia" w:ascii="宋体" w:hAnsi="宋体"/>
          <w:color w:val="auto"/>
          <w:lang w:val="en-US" w:eastAsia="zh-CN"/>
        </w:rPr>
        <w:t>(</w:t>
      </w:r>
      <w:r>
        <w:rPr>
          <w:rFonts w:ascii="宋体" w:hAnsi="宋体" w:cs="宋体"/>
          <w:color w:val="auto"/>
          <w:kern w:val="0"/>
          <w:szCs w:val="21"/>
        </w:rPr>
        <w:t>如已经办理三证合一的，只需提供统一社会信用代码的营业执照）</w:t>
      </w:r>
      <w:r>
        <w:rPr>
          <w:rFonts w:hint="eastAsia"/>
          <w:color w:val="auto"/>
        </w:rPr>
        <w:t>；</w:t>
      </w:r>
    </w:p>
    <w:p>
      <w:pPr>
        <w:spacing w:line="480" w:lineRule="exact"/>
        <w:rPr>
          <w:rFonts w:hint="eastAsia"/>
          <w:color w:val="auto"/>
        </w:rPr>
      </w:pPr>
      <w:r>
        <w:rPr>
          <w:rFonts w:hint="eastAsia"/>
          <w:color w:val="auto"/>
          <w:lang w:val="en-US" w:eastAsia="zh-CN"/>
        </w:rPr>
        <w:t>4.2</w:t>
      </w:r>
      <w:r>
        <w:rPr>
          <w:rFonts w:hint="eastAsia"/>
          <w:color w:val="auto"/>
        </w:rPr>
        <w:t>法人、被授权人身份证复印件、法人资格证明书原件、法人委托授权书原件</w:t>
      </w:r>
      <w:r>
        <w:rPr>
          <w:rFonts w:hint="eastAsia"/>
          <w:color w:val="auto"/>
          <w:lang w:eastAsia="zh-CN"/>
        </w:rPr>
        <w:t>；</w:t>
      </w:r>
    </w:p>
    <w:p>
      <w:pPr>
        <w:spacing w:line="480" w:lineRule="exact"/>
        <w:rPr>
          <w:rFonts w:hint="eastAsia"/>
          <w:color w:val="auto"/>
          <w:szCs w:val="21"/>
          <w:lang w:eastAsia="zh-CN"/>
        </w:rPr>
      </w:pPr>
      <w:r>
        <w:rPr>
          <w:rFonts w:hint="eastAsia"/>
          <w:color w:val="auto"/>
          <w:lang w:val="en-US" w:eastAsia="zh-CN"/>
        </w:rPr>
        <w:t>4.3</w:t>
      </w:r>
      <w:r>
        <w:rPr>
          <w:rFonts w:hint="eastAsia"/>
          <w:color w:val="auto"/>
          <w:szCs w:val="21"/>
        </w:rPr>
        <w:t>提供</w:t>
      </w:r>
      <w:r>
        <w:rPr>
          <w:rFonts w:hint="eastAsia"/>
          <w:color w:val="auto"/>
          <w:szCs w:val="21"/>
          <w:lang w:eastAsia="zh-CN"/>
        </w:rPr>
        <w:t>报价人</w:t>
      </w:r>
      <w:r>
        <w:rPr>
          <w:rFonts w:hint="eastAsia"/>
          <w:color w:val="auto"/>
          <w:szCs w:val="21"/>
        </w:rPr>
        <w:t>住所地或者业务发生地人民检察院出具的无行贿犯罪档案查询结果告知函【自出具之日起前</w:t>
      </w:r>
      <w:r>
        <w:rPr>
          <w:color w:val="auto"/>
          <w:szCs w:val="21"/>
        </w:rPr>
        <w:t>3</w:t>
      </w:r>
      <w:r>
        <w:rPr>
          <w:rFonts w:hint="eastAsia"/>
          <w:color w:val="auto"/>
          <w:szCs w:val="21"/>
        </w:rPr>
        <w:t>年内无行贿犯罪档案记录，若</w:t>
      </w:r>
      <w:r>
        <w:rPr>
          <w:rFonts w:hint="eastAsia"/>
          <w:color w:val="auto"/>
          <w:szCs w:val="21"/>
          <w:lang w:eastAsia="zh-CN"/>
        </w:rPr>
        <w:t>报价人</w:t>
      </w:r>
      <w:r>
        <w:rPr>
          <w:rFonts w:hint="eastAsia"/>
          <w:color w:val="auto"/>
          <w:szCs w:val="21"/>
        </w:rPr>
        <w:t>自成立之日起不足</w:t>
      </w:r>
      <w:r>
        <w:rPr>
          <w:color w:val="auto"/>
          <w:szCs w:val="21"/>
        </w:rPr>
        <w:t>3</w:t>
      </w:r>
      <w:r>
        <w:rPr>
          <w:rFonts w:hint="eastAsia"/>
          <w:color w:val="auto"/>
          <w:szCs w:val="21"/>
        </w:rPr>
        <w:t>年的，则出具自成立之日起至出具之日无行贿犯罪档案纪录。无行贿犯罪档案查询结果告知函有效期自出具之日</w:t>
      </w:r>
      <w:r>
        <w:rPr>
          <w:color w:val="auto"/>
          <w:szCs w:val="21"/>
        </w:rPr>
        <w:t>2</w:t>
      </w:r>
      <w:r>
        <w:rPr>
          <w:rFonts w:hint="eastAsia"/>
          <w:color w:val="auto"/>
          <w:szCs w:val="21"/>
        </w:rPr>
        <w:t>个月内有效，开标时间必须在有效期内，报名时提供复印件并加盖公章，原件核查。</w:t>
      </w:r>
      <w:r>
        <w:rPr>
          <w:rFonts w:hint="eastAsia" w:ascii="宋体" w:hAnsi="宋体"/>
          <w:color w:val="auto"/>
        </w:rPr>
        <w:t>投标时</w:t>
      </w:r>
      <w:r>
        <w:rPr>
          <w:rFonts w:hint="eastAsia" w:ascii="宋体" w:hAnsi="宋体"/>
          <w:color w:val="auto"/>
          <w:lang w:eastAsia="zh-CN"/>
        </w:rPr>
        <w:t>随投标文件将原件放在正本中</w:t>
      </w:r>
      <w:r>
        <w:rPr>
          <w:rFonts w:hint="eastAsia" w:ascii="宋体" w:hAnsi="宋体"/>
          <w:color w:val="auto"/>
        </w:rPr>
        <w:t>。</w:t>
      </w:r>
      <w:r>
        <w:rPr>
          <w:rFonts w:hint="eastAsia"/>
          <w:color w:val="auto"/>
          <w:szCs w:val="21"/>
        </w:rPr>
        <w:t>】</w:t>
      </w:r>
      <w:r>
        <w:rPr>
          <w:rFonts w:hint="eastAsia"/>
          <w:color w:val="auto"/>
          <w:szCs w:val="21"/>
          <w:lang w:eastAsia="zh-CN"/>
        </w:rPr>
        <w:t>；</w:t>
      </w:r>
    </w:p>
    <w:p>
      <w:pPr>
        <w:spacing w:line="480" w:lineRule="exact"/>
        <w:rPr>
          <w:rFonts w:hint="eastAsia" w:ascii="宋体" w:hAnsi="宋体" w:cs="宋体"/>
          <w:color w:val="auto"/>
          <w:kern w:val="1"/>
          <w:szCs w:val="21"/>
          <w:lang w:val="en-US" w:eastAsia="zh-CN"/>
        </w:rPr>
      </w:pPr>
      <w:r>
        <w:rPr>
          <w:rFonts w:hint="eastAsia"/>
          <w:color w:val="auto"/>
          <w:szCs w:val="21"/>
          <w:lang w:val="en-US" w:eastAsia="zh-CN"/>
        </w:rPr>
        <w:t>4.4</w:t>
      </w:r>
      <w:r>
        <w:rPr>
          <w:rFonts w:hint="eastAsia" w:ascii="宋体" w:hAnsi="宋体"/>
          <w:color w:val="auto"/>
          <w:sz w:val="21"/>
          <w:szCs w:val="21"/>
        </w:rPr>
        <w:t>单位负责人为同一人或者存在直接控股、管理关系的不同供应商，不得参加同一合同项下的政府采购活动（以国家企业信用信息公示系统www.gsxt.gov.cn查询结果为准）</w:t>
      </w:r>
      <w:r>
        <w:rPr>
          <w:rFonts w:hint="eastAsia" w:ascii="宋体" w:hAnsi="宋体"/>
          <w:color w:val="auto"/>
          <w:sz w:val="21"/>
          <w:szCs w:val="21"/>
          <w:lang w:eastAsia="zh-CN"/>
        </w:rPr>
        <w:t>。</w:t>
      </w:r>
    </w:p>
    <w:p>
      <w:pPr>
        <w:spacing w:line="480" w:lineRule="exact"/>
        <w:rPr>
          <w:rFonts w:hint="eastAsia"/>
          <w:color w:val="auto"/>
          <w:szCs w:val="21"/>
          <w:lang w:eastAsia="zh-CN"/>
        </w:rPr>
      </w:pPr>
      <w:r>
        <w:rPr>
          <w:rFonts w:hint="eastAsia" w:ascii="宋体" w:hAnsi="宋体" w:cs="宋体"/>
          <w:color w:val="auto"/>
          <w:kern w:val="1"/>
          <w:szCs w:val="21"/>
          <w:lang w:val="en-US" w:eastAsia="zh-CN"/>
        </w:rPr>
        <w:t>4.5</w:t>
      </w:r>
      <w:r>
        <w:rPr>
          <w:rFonts w:hint="eastAsia"/>
          <w:color w:val="auto"/>
          <w:szCs w:val="21"/>
        </w:rPr>
        <w:t xml:space="preserve">在“信用中国网站”（ </w:t>
      </w:r>
      <w:r>
        <w:rPr>
          <w:rFonts w:hint="eastAsia"/>
          <w:color w:val="auto"/>
          <w:szCs w:val="21"/>
          <w:u w:val="none"/>
        </w:rPr>
        <w:t>www.creditchina.gov.cn）“信用信息”查询情况证明（提供网站的信用</w:t>
      </w:r>
      <w:r>
        <w:rPr>
          <w:rFonts w:hint="eastAsia"/>
          <w:color w:val="auto"/>
          <w:szCs w:val="21"/>
          <w:u w:val="none"/>
          <w:lang w:val="en-US" w:eastAsia="zh-CN"/>
        </w:rPr>
        <w:t>信息</w:t>
      </w:r>
      <w:r>
        <w:rPr>
          <w:rFonts w:hint="eastAsia"/>
          <w:color w:val="auto"/>
          <w:szCs w:val="21"/>
          <w:u w:val="none"/>
        </w:rPr>
        <w:t>记录查询结果打印页面</w:t>
      </w:r>
      <w:r>
        <w:rPr>
          <w:rFonts w:hint="eastAsia"/>
          <w:color w:val="auto"/>
          <w:szCs w:val="21"/>
          <w:u w:val="none"/>
          <w:lang w:val="en-US" w:eastAsia="zh-CN"/>
        </w:rPr>
        <w:t>并加盖公章</w:t>
      </w:r>
      <w:r>
        <w:rPr>
          <w:rFonts w:hint="eastAsia"/>
          <w:color w:val="auto"/>
          <w:szCs w:val="21"/>
          <w:u w:val="none"/>
        </w:rPr>
        <w:t>）</w:t>
      </w:r>
      <w:r>
        <w:rPr>
          <w:rFonts w:hint="eastAsia"/>
          <w:color w:val="auto"/>
          <w:szCs w:val="21"/>
          <w:u w:val="none"/>
          <w:lang w:eastAsia="zh-CN"/>
        </w:rPr>
        <w:t>。</w:t>
      </w:r>
    </w:p>
    <w:p>
      <w:pPr>
        <w:spacing w:line="480" w:lineRule="exact"/>
        <w:rPr>
          <w:rFonts w:hint="eastAsia" w:ascii="宋体" w:hAnsi="宋体"/>
          <w:color w:val="auto"/>
          <w:lang w:val="en-US" w:eastAsia="zh-CN"/>
        </w:rPr>
      </w:pPr>
      <w:r>
        <w:rPr>
          <w:rFonts w:hint="eastAsia" w:ascii="宋体" w:hAnsi="宋体"/>
          <w:color w:val="auto"/>
          <w:lang w:val="en-US" w:eastAsia="zh-CN"/>
        </w:rPr>
        <w:t>4.6为采购项目提供整体设计、规范编制或者项目管理、监理、检测等服务的供应商，不得再参加该采购项目的其他采购活动。（提供《承诺书》）</w:t>
      </w:r>
    </w:p>
    <w:p>
      <w:pPr>
        <w:spacing w:line="480" w:lineRule="exact"/>
        <w:rPr>
          <w:rFonts w:hint="eastAsia"/>
          <w:color w:val="auto"/>
          <w:szCs w:val="21"/>
          <w:lang w:val="hr-HR"/>
        </w:rPr>
      </w:pPr>
      <w:r>
        <w:rPr>
          <w:rFonts w:hint="eastAsia"/>
          <w:color w:val="auto"/>
          <w:szCs w:val="21"/>
          <w:lang w:val="en-US" w:eastAsia="zh-CN"/>
        </w:rPr>
        <w:t>4.7</w:t>
      </w:r>
      <w:r>
        <w:rPr>
          <w:rFonts w:hint="eastAsia"/>
          <w:color w:val="auto"/>
          <w:szCs w:val="21"/>
          <w:lang w:val="hr-HR" w:eastAsia="zh-CN"/>
        </w:rPr>
        <w:t>报价人必须具有建设行政主管部门颁发的工程造价咨询机构乙级或以上资质证书</w:t>
      </w:r>
      <w:r>
        <w:rPr>
          <w:rFonts w:hint="eastAsia"/>
          <w:color w:val="auto"/>
          <w:szCs w:val="21"/>
          <w:lang w:val="hr-HR"/>
        </w:rPr>
        <w:t>；</w:t>
      </w:r>
    </w:p>
    <w:p>
      <w:pPr>
        <w:widowControl w:val="0"/>
        <w:spacing w:line="480" w:lineRule="exact"/>
        <w:jc w:val="both"/>
        <w:rPr>
          <w:rFonts w:hint="eastAsia"/>
          <w:color w:val="auto"/>
          <w:szCs w:val="21"/>
        </w:rPr>
      </w:pPr>
      <w:r>
        <w:rPr>
          <w:rFonts w:hint="eastAsia"/>
          <w:color w:val="auto"/>
          <w:szCs w:val="21"/>
          <w:lang w:val="en-US" w:eastAsia="zh-CN"/>
        </w:rPr>
        <w:t>4.8</w:t>
      </w:r>
      <w:r>
        <w:rPr>
          <w:rFonts w:hint="eastAsia" w:ascii="宋体" w:hAnsi="宋体"/>
          <w:color w:val="auto"/>
          <w:szCs w:val="21"/>
          <w:lang w:eastAsia="zh-CN"/>
        </w:rPr>
        <w:t>报价人</w:t>
      </w:r>
      <w:r>
        <w:rPr>
          <w:rFonts w:hint="eastAsia" w:ascii="宋体" w:hAnsi="宋体"/>
          <w:color w:val="auto"/>
          <w:szCs w:val="21"/>
        </w:rPr>
        <w:t>必须在云浮市范围内设有依法登记的分公司或子公司机构或固定办公场所(必须提供有效证明文件）</w:t>
      </w:r>
      <w:r>
        <w:rPr>
          <w:rFonts w:hint="eastAsia"/>
          <w:color w:val="auto"/>
          <w:szCs w:val="21"/>
        </w:rPr>
        <w:t>。</w:t>
      </w:r>
    </w:p>
    <w:p>
      <w:pPr>
        <w:spacing w:line="480" w:lineRule="exact"/>
        <w:rPr>
          <w:rFonts w:hint="eastAsia" w:ascii="宋体" w:hAnsi="宋体"/>
          <w:color w:val="auto"/>
          <w:szCs w:val="21"/>
          <w:lang w:val="en-US" w:eastAsia="zh-CN"/>
        </w:rPr>
      </w:pPr>
      <w:r>
        <w:rPr>
          <w:rFonts w:hint="eastAsia"/>
          <w:color w:val="auto"/>
          <w:szCs w:val="21"/>
          <w:lang w:val="en-US" w:eastAsia="zh-CN"/>
        </w:rPr>
        <w:t>4.9</w:t>
      </w:r>
      <w:r>
        <w:rPr>
          <w:rFonts w:hint="eastAsia" w:ascii="宋体" w:hAnsi="宋体"/>
          <w:color w:val="auto"/>
          <w:szCs w:val="21"/>
          <w:lang w:val="hr-HR" w:eastAsia="zh-CN"/>
        </w:rPr>
        <w:t>报价人</w:t>
      </w:r>
      <w:r>
        <w:rPr>
          <w:rFonts w:hint="eastAsia" w:ascii="宋体" w:hAnsi="宋体"/>
          <w:color w:val="auto"/>
          <w:szCs w:val="21"/>
          <w:lang w:val="hr-HR"/>
        </w:rPr>
        <w:t>具有云浮市（区）建设行政主管部门颁发的有效的《云浮市建筑行业诚信手册》，有效是指诚信管理系统状态显示为“正常”。《云浮市建筑行业诚信手册》的有效范围是最新</w:t>
      </w:r>
      <w:r>
        <w:rPr>
          <w:rFonts w:hint="eastAsia" w:ascii="宋体" w:hAnsi="宋体"/>
          <w:color w:val="auto"/>
          <w:szCs w:val="21"/>
        </w:rPr>
        <w:t>年度考评结论为C或以上的</w:t>
      </w:r>
      <w:r>
        <w:rPr>
          <w:rFonts w:hint="eastAsia" w:ascii="宋体" w:hAnsi="宋体"/>
          <w:color w:val="auto"/>
          <w:szCs w:val="21"/>
          <w:lang w:eastAsia="zh-CN"/>
        </w:rPr>
        <w:t>。</w:t>
      </w:r>
    </w:p>
    <w:p>
      <w:pPr>
        <w:spacing w:line="480" w:lineRule="exact"/>
        <w:ind w:left="630" w:leftChars="100" w:hanging="420" w:hangingChars="200"/>
        <w:rPr>
          <w:rFonts w:ascii="宋体" w:hAnsi="宋体"/>
          <w:color w:val="auto"/>
        </w:rPr>
      </w:pPr>
      <w:r>
        <w:rPr>
          <w:rFonts w:hint="eastAsia" w:ascii="宋体" w:hAnsi="宋体"/>
          <w:color w:val="auto"/>
        </w:rPr>
        <w:t xml:space="preserve">  </w:t>
      </w:r>
    </w:p>
    <w:p>
      <w:pPr>
        <w:adjustRightInd w:val="0"/>
        <w:snapToGrid w:val="0"/>
        <w:spacing w:line="360" w:lineRule="auto"/>
        <w:ind w:left="472" w:leftChars="83" w:hanging="298" w:hangingChars="142"/>
        <w:rPr>
          <w:rFonts w:ascii="宋体"/>
          <w:color w:val="auto"/>
        </w:rPr>
      </w:pPr>
    </w:p>
    <w:p>
      <w:pPr>
        <w:pStyle w:val="2"/>
        <w:spacing w:line="480" w:lineRule="exact"/>
        <w:rPr>
          <w:color w:val="auto"/>
          <w:sz w:val="24"/>
          <w:szCs w:val="24"/>
        </w:rPr>
      </w:pPr>
      <w:r>
        <w:rPr>
          <w:color w:val="auto"/>
        </w:rPr>
        <w:br w:type="page"/>
      </w:r>
      <w:bookmarkStart w:id="27" w:name="_Hlt10549792"/>
      <w:bookmarkEnd w:id="27"/>
      <w:r>
        <w:rPr>
          <w:rFonts w:hint="eastAsia"/>
          <w:color w:val="auto"/>
          <w:sz w:val="32"/>
          <w:szCs w:val="32"/>
        </w:rPr>
        <w:t xml:space="preserve"> </w:t>
      </w:r>
      <w:r>
        <w:rPr>
          <w:rFonts w:hint="eastAsia"/>
          <w:color w:val="auto"/>
          <w:sz w:val="32"/>
          <w:szCs w:val="32"/>
          <w:lang w:val="en-US" w:eastAsia="zh-CN"/>
        </w:rPr>
        <w:t>5</w:t>
      </w:r>
      <w:r>
        <w:rPr>
          <w:rFonts w:hint="eastAsia"/>
          <w:color w:val="auto"/>
          <w:sz w:val="32"/>
          <w:szCs w:val="32"/>
        </w:rPr>
        <w:t>. 报价保证金</w:t>
      </w:r>
    </w:p>
    <w:p>
      <w:pPr>
        <w:spacing w:line="360" w:lineRule="auto"/>
        <w:rPr>
          <w:rFonts w:ascii="宋体" w:hAnsi="宋体"/>
          <w:b/>
          <w:color w:val="auto"/>
          <w:sz w:val="24"/>
        </w:rPr>
      </w:pPr>
      <w:r>
        <w:rPr>
          <w:rFonts w:hint="eastAsia" w:ascii="宋体" w:hAnsi="宋体"/>
          <w:b/>
          <w:color w:val="auto"/>
          <w:sz w:val="24"/>
          <w:lang w:val="en-US" w:eastAsia="zh-CN"/>
        </w:rPr>
        <w:t>5</w:t>
      </w:r>
      <w:r>
        <w:rPr>
          <w:rFonts w:hint="eastAsia" w:ascii="宋体" w:hAnsi="宋体"/>
          <w:b/>
          <w:color w:val="auto"/>
          <w:sz w:val="24"/>
        </w:rPr>
        <w:t>.1 通过电汇、银行转帐形式交纳保证金格式</w:t>
      </w:r>
    </w:p>
    <w:p>
      <w:pPr>
        <w:spacing w:line="360" w:lineRule="auto"/>
        <w:rPr>
          <w:rFonts w:ascii="宋体"/>
          <w:b/>
          <w:color w:val="auto"/>
          <w:szCs w:val="21"/>
        </w:rPr>
      </w:pPr>
      <w:r>
        <w:rPr>
          <w:rFonts w:hint="eastAsia" w:ascii="宋体"/>
          <w:b/>
          <w:color w:val="auto"/>
          <w:szCs w:val="21"/>
        </w:rPr>
        <w:t>（1）报价保证金交纳凭证</w:t>
      </w:r>
    </w:p>
    <w:p>
      <w:pPr>
        <w:spacing w:line="360" w:lineRule="auto"/>
        <w:rPr>
          <w:rFonts w:ascii="宋体" w:hAnsi="宋体"/>
          <w:color w:val="auto"/>
          <w:szCs w:val="21"/>
        </w:rPr>
      </w:pPr>
      <w:r>
        <w:rPr>
          <w:rFonts w:hint="eastAsia" w:ascii="宋体"/>
          <w:b/>
          <w:color w:val="auto"/>
          <w:szCs w:val="21"/>
        </w:rPr>
        <w:t>致：广东晓君招标采购代理有限公司</w:t>
      </w:r>
    </w:p>
    <w:p>
      <w:pPr>
        <w:spacing w:line="360" w:lineRule="auto"/>
        <w:rPr>
          <w:rFonts w:ascii="宋体" w:hAnsi="宋体"/>
          <w:color w:val="auto"/>
          <w:szCs w:val="21"/>
        </w:rPr>
      </w:pPr>
      <w:r>
        <w:rPr>
          <w:rFonts w:hint="eastAsia" w:ascii="宋体" w:hAnsi="宋体"/>
          <w:color w:val="auto"/>
          <w:szCs w:val="21"/>
        </w:rPr>
        <w:t xml:space="preserve">    </w:t>
      </w:r>
      <w:r>
        <w:rPr>
          <w:rFonts w:hint="eastAsia" w:ascii="宋体" w:hAnsi="宋体"/>
          <w:color w:val="auto"/>
          <w:szCs w:val="21"/>
          <w:u w:val="single"/>
        </w:rPr>
        <w:t xml:space="preserve">（报价人全称) </w:t>
      </w:r>
      <w:r>
        <w:rPr>
          <w:rFonts w:hint="eastAsia" w:ascii="宋体" w:hAnsi="宋体"/>
          <w:color w:val="auto"/>
          <w:szCs w:val="21"/>
        </w:rPr>
        <w:t>参加贵方组织的、采购编号为</w:t>
      </w:r>
      <w:r>
        <w:rPr>
          <w:rFonts w:hint="eastAsia" w:ascii="宋体" w:hAnsi="宋体"/>
          <w:color w:val="auto"/>
          <w:szCs w:val="21"/>
          <w:u w:val="single"/>
        </w:rPr>
        <w:t xml:space="preserve">           </w:t>
      </w:r>
      <w:r>
        <w:rPr>
          <w:rFonts w:hint="eastAsia" w:ascii="宋体" w:hAnsi="宋体"/>
          <w:color w:val="auto"/>
          <w:szCs w:val="21"/>
        </w:rPr>
        <w:t>的采购活动。按磋商文件的规定，已通过（</w:t>
      </w:r>
      <w:r>
        <w:rPr>
          <w:rFonts w:hint="eastAsia" w:ascii="宋体" w:hAnsi="宋体"/>
          <w:color w:val="auto"/>
          <w:szCs w:val="21"/>
          <w:u w:val="single"/>
        </w:rPr>
        <w:t>转帐、银行汇款</w:t>
      </w:r>
      <w:r>
        <w:rPr>
          <w:rFonts w:hint="eastAsia" w:ascii="宋体" w:hAnsi="宋体"/>
          <w:color w:val="auto"/>
          <w:szCs w:val="21"/>
        </w:rPr>
        <w:t>）形式交纳人民币</w:t>
      </w:r>
      <w:r>
        <w:rPr>
          <w:rFonts w:hint="eastAsia" w:ascii="宋体" w:hAnsi="宋体"/>
          <w:color w:val="auto"/>
          <w:szCs w:val="21"/>
          <w:u w:val="single"/>
        </w:rPr>
        <w:t xml:space="preserve">（大写）  　　  </w:t>
      </w:r>
      <w:r>
        <w:rPr>
          <w:rFonts w:hint="eastAsia" w:ascii="宋体" w:hAnsi="宋体"/>
          <w:color w:val="auto"/>
          <w:szCs w:val="21"/>
        </w:rPr>
        <w:t>元的报价保证金。</w:t>
      </w:r>
    </w:p>
    <w:p>
      <w:pPr>
        <w:adjustRightInd w:val="0"/>
        <w:snapToGrid w:val="0"/>
        <w:spacing w:line="360" w:lineRule="auto"/>
        <w:rPr>
          <w:rFonts w:ascii="宋体" w:hAnsi="宋体"/>
          <w:color w:val="auto"/>
          <w:szCs w:val="21"/>
        </w:rPr>
      </w:pPr>
    </w:p>
    <w:p>
      <w:pPr>
        <w:spacing w:line="360" w:lineRule="auto"/>
        <w:rPr>
          <w:rFonts w:ascii="宋体" w:hAnsi="宋体"/>
          <w:color w:val="auto"/>
          <w:szCs w:val="21"/>
        </w:rPr>
      </w:pPr>
      <w:r>
        <w:rPr>
          <w:rFonts w:hint="eastAsia" w:ascii="宋体" w:hAnsi="宋体"/>
          <w:color w:val="auto"/>
          <w:szCs w:val="21"/>
        </w:rPr>
        <w:t xml:space="preserve">附： </w:t>
      </w:r>
    </w:p>
    <w:tbl>
      <w:tblPr>
        <w:tblStyle w:val="30"/>
        <w:tblW w:w="7741"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454" w:hRule="atLeast"/>
        </w:trPr>
        <w:tc>
          <w:tcPr>
            <w:tcW w:w="7741" w:type="dxa"/>
            <w:vAlign w:val="center"/>
          </w:tcPr>
          <w:p>
            <w:pPr>
              <w:spacing w:line="360" w:lineRule="auto"/>
              <w:jc w:val="center"/>
              <w:rPr>
                <w:rFonts w:ascii="宋体" w:hAnsi="宋体"/>
                <w:color w:val="auto"/>
                <w:szCs w:val="21"/>
              </w:rPr>
            </w:pPr>
            <w:r>
              <w:rPr>
                <w:rFonts w:hint="eastAsia" w:ascii="宋体" w:hAnsi="宋体"/>
                <w:color w:val="auto"/>
                <w:szCs w:val="21"/>
              </w:rPr>
              <w:t>粘贴转帐或汇款的银行凭证复印件</w:t>
            </w:r>
          </w:p>
        </w:tc>
      </w:tr>
    </w:tbl>
    <w:p>
      <w:pPr>
        <w:adjustRightInd w:val="0"/>
        <w:snapToGrid w:val="0"/>
        <w:spacing w:line="360" w:lineRule="auto"/>
        <w:ind w:firstLine="315" w:firstLineChars="150"/>
        <w:rPr>
          <w:rFonts w:ascii="宋体" w:hAnsi="宋体"/>
          <w:color w:val="auto"/>
          <w:szCs w:val="21"/>
        </w:rPr>
      </w:pPr>
    </w:p>
    <w:p>
      <w:pPr>
        <w:adjustRightInd w:val="0"/>
        <w:snapToGrid w:val="0"/>
        <w:spacing w:line="360" w:lineRule="auto"/>
        <w:ind w:firstLine="315" w:firstLineChars="150"/>
        <w:rPr>
          <w:rFonts w:ascii="宋体" w:hAnsi="宋体"/>
          <w:color w:val="auto"/>
          <w:szCs w:val="21"/>
        </w:rPr>
      </w:pPr>
    </w:p>
    <w:p>
      <w:pPr>
        <w:adjustRightInd w:val="0"/>
        <w:snapToGrid w:val="0"/>
        <w:spacing w:line="360" w:lineRule="auto"/>
        <w:ind w:firstLine="315" w:firstLineChars="150"/>
        <w:rPr>
          <w:rFonts w:ascii="宋体" w:hAnsi="宋体"/>
          <w:color w:val="auto"/>
          <w:szCs w:val="21"/>
          <w:u w:val="single"/>
        </w:rPr>
      </w:pPr>
      <w:r>
        <w:rPr>
          <w:rFonts w:hint="eastAsia" w:ascii="宋体" w:hAnsi="宋体"/>
          <w:color w:val="auto"/>
          <w:szCs w:val="21"/>
        </w:rPr>
        <w:t>报价人法定代表人（或法定代表人授权代表）签字：</w:t>
      </w:r>
      <w:r>
        <w:rPr>
          <w:rFonts w:hint="eastAsia" w:ascii="宋体" w:hAnsi="宋体"/>
          <w:color w:val="auto"/>
          <w:szCs w:val="21"/>
          <w:u w:val="single"/>
        </w:rPr>
        <w:t xml:space="preserve">                   </w:t>
      </w:r>
    </w:p>
    <w:p>
      <w:pPr>
        <w:adjustRightInd w:val="0"/>
        <w:snapToGrid w:val="0"/>
        <w:spacing w:line="360" w:lineRule="auto"/>
        <w:ind w:firstLine="315" w:firstLineChars="150"/>
        <w:rPr>
          <w:color w:val="auto"/>
        </w:rPr>
      </w:pPr>
      <w:r>
        <w:rPr>
          <w:rFonts w:hint="eastAsia"/>
          <w:color w:val="auto"/>
        </w:rPr>
        <w:t>报价人名称（签章）：</w:t>
      </w:r>
      <w:r>
        <w:rPr>
          <w:rFonts w:hint="eastAsia"/>
          <w:color w:val="auto"/>
          <w:u w:val="single"/>
        </w:rPr>
        <w:t xml:space="preserve">                    </w:t>
      </w:r>
      <w:r>
        <w:rPr>
          <w:rFonts w:hint="eastAsia"/>
          <w:color w:val="auto"/>
        </w:rPr>
        <w:t xml:space="preserve">    </w:t>
      </w:r>
    </w:p>
    <w:p>
      <w:pPr>
        <w:adjustRightInd w:val="0"/>
        <w:snapToGrid w:val="0"/>
        <w:spacing w:line="360" w:lineRule="auto"/>
        <w:ind w:firstLine="315" w:firstLineChars="150"/>
        <w:rPr>
          <w:rFonts w:ascii="宋体" w:hAnsi="宋体"/>
          <w:color w:val="auto"/>
          <w:szCs w:val="21"/>
        </w:rPr>
      </w:pPr>
      <w:r>
        <w:rPr>
          <w:rFonts w:hint="eastAsia" w:ascii="宋体" w:hAnsi="宋体"/>
          <w:color w:val="auto"/>
          <w:szCs w:val="21"/>
        </w:rPr>
        <w:t>日期：   年   月   日</w:t>
      </w:r>
    </w:p>
    <w:p>
      <w:pPr>
        <w:spacing w:line="360" w:lineRule="auto"/>
        <w:rPr>
          <w:rFonts w:ascii="宋体" w:hAnsi="宋体"/>
          <w:b/>
          <w:bCs/>
          <w:color w:val="auto"/>
          <w:sz w:val="24"/>
        </w:rPr>
      </w:pPr>
      <w:r>
        <w:rPr>
          <w:rFonts w:ascii="宋体" w:hAnsi="宋体"/>
          <w:color w:val="auto"/>
          <w:szCs w:val="21"/>
        </w:rPr>
        <w:br w:type="page"/>
      </w:r>
      <w:r>
        <w:rPr>
          <w:rFonts w:hint="eastAsia" w:ascii="宋体" w:hAnsi="宋体"/>
          <w:b/>
          <w:bCs/>
          <w:color w:val="auto"/>
          <w:sz w:val="24"/>
        </w:rPr>
        <w:t>（2）退保证金说明格式</w:t>
      </w:r>
      <w:r>
        <w:rPr>
          <w:rFonts w:hint="eastAsia" w:ascii="宋体" w:hAnsi="宋体"/>
          <w:b/>
          <w:color w:val="auto"/>
          <w:kern w:val="10"/>
          <w:sz w:val="24"/>
          <w:szCs w:val="32"/>
        </w:rPr>
        <w:t>（</w:t>
      </w:r>
      <w:r>
        <w:rPr>
          <w:rFonts w:hint="eastAsia" w:ascii="宋体" w:hAnsi="宋体"/>
          <w:color w:val="auto"/>
        </w:rPr>
        <w:t>为确保报价保证金退回顺畅，请报价人仔细阅读以下表中说明并执行</w:t>
      </w:r>
      <w:r>
        <w:rPr>
          <w:rFonts w:hint="eastAsia" w:ascii="宋体" w:hAnsi="宋体"/>
          <w:b/>
          <w:color w:val="auto"/>
          <w:kern w:val="10"/>
          <w:sz w:val="24"/>
          <w:szCs w:val="32"/>
        </w:rPr>
        <w:t>）</w:t>
      </w:r>
    </w:p>
    <w:p>
      <w:pPr>
        <w:spacing w:line="480" w:lineRule="exact"/>
        <w:ind w:firstLine="420" w:firstLineChars="200"/>
        <w:rPr>
          <w:rFonts w:ascii="宋体" w:hAnsi="宋体"/>
          <w:color w:val="auto"/>
        </w:rPr>
      </w:pPr>
      <w:r>
        <w:rPr>
          <w:rFonts w:hint="eastAsia" w:ascii="宋体" w:hAnsi="宋体"/>
          <w:color w:val="auto"/>
        </w:rPr>
        <w:t>如报价单位保证金由其他单位代缴的,代缴单位在缴交保证金的同时应提交盖有代缴单位和报价人公章的证明(原件一份放于正本，另一份放于唱标信封里)。</w:t>
      </w:r>
    </w:p>
    <w:p>
      <w:pPr>
        <w:spacing w:line="480" w:lineRule="exact"/>
        <w:jc w:val="center"/>
        <w:rPr>
          <w:rFonts w:ascii="宋体" w:hAnsi="宋体"/>
          <w:b/>
          <w:color w:val="auto"/>
          <w:sz w:val="32"/>
          <w:szCs w:val="32"/>
        </w:rPr>
      </w:pPr>
      <w:r>
        <w:rPr>
          <w:rFonts w:hint="eastAsia" w:ascii="宋体" w:hAnsi="宋体"/>
          <w:b/>
          <w:color w:val="auto"/>
          <w:sz w:val="32"/>
          <w:szCs w:val="32"/>
        </w:rPr>
        <w:t>退保证金说明</w:t>
      </w:r>
    </w:p>
    <w:p>
      <w:pPr>
        <w:spacing w:line="480" w:lineRule="exact"/>
        <w:rPr>
          <w:rFonts w:ascii="宋体" w:hAnsi="宋体"/>
          <w:color w:val="auto"/>
        </w:rPr>
      </w:pPr>
      <w:r>
        <w:rPr>
          <w:rFonts w:hint="eastAsia" w:ascii="宋体" w:hAnsi="宋体"/>
          <w:color w:val="auto"/>
        </w:rPr>
        <w:t>致：广东晓君招标采购代理有限公司</w:t>
      </w:r>
    </w:p>
    <w:p>
      <w:pPr>
        <w:spacing w:line="480" w:lineRule="exact"/>
        <w:ind w:firstLine="420"/>
        <w:rPr>
          <w:rFonts w:ascii="宋体" w:hAnsi="宋体"/>
          <w:color w:val="auto"/>
        </w:rPr>
      </w:pPr>
      <w:r>
        <w:rPr>
          <w:rFonts w:hint="eastAsia" w:ascii="宋体" w:hAnsi="宋体"/>
          <w:color w:val="auto"/>
        </w:rPr>
        <w:t>我方为</w:t>
      </w:r>
      <w:r>
        <w:rPr>
          <w:rFonts w:hint="eastAsia" w:ascii="宋体" w:hAnsi="宋体"/>
          <w:color w:val="auto"/>
          <w:u w:val="single"/>
        </w:rPr>
        <w:t xml:space="preserve">                                      </w:t>
      </w:r>
      <w:r>
        <w:rPr>
          <w:rFonts w:hint="eastAsia" w:ascii="宋体" w:hAnsi="宋体"/>
          <w:color w:val="auto"/>
        </w:rPr>
        <w:t>报价[采购编号为：</w:t>
      </w:r>
      <w:r>
        <w:rPr>
          <w:rFonts w:hint="eastAsia" w:ascii="宋体" w:hAnsi="宋体"/>
          <w:color w:val="auto"/>
          <w:u w:val="single"/>
        </w:rPr>
        <w:t xml:space="preserve">           </w:t>
      </w:r>
      <w:r>
        <w:rPr>
          <w:rFonts w:hint="eastAsia" w:ascii="宋体" w:hAnsi="宋体"/>
          <w:color w:val="auto"/>
        </w:rPr>
        <w:t>]所提交的保证金</w:t>
      </w:r>
      <w:r>
        <w:rPr>
          <w:rFonts w:hint="eastAsia" w:ascii="宋体" w:hAnsi="宋体"/>
          <w:color w:val="auto"/>
          <w:u w:val="single"/>
        </w:rPr>
        <w:t xml:space="preserve">                    </w:t>
      </w:r>
      <w:r>
        <w:rPr>
          <w:rFonts w:hint="eastAsia" w:ascii="宋体" w:hAnsi="宋体"/>
          <w:color w:val="auto"/>
        </w:rPr>
        <w:t>元，请贵公司退还时划到以下帐户：</w:t>
      </w:r>
    </w:p>
    <w:tbl>
      <w:tblPr>
        <w:tblStyle w:val="30"/>
        <w:tblW w:w="8475" w:type="dxa"/>
        <w:tblInd w:w="93" w:type="dxa"/>
        <w:tblLayout w:type="fixed"/>
        <w:tblCellMar>
          <w:top w:w="0" w:type="dxa"/>
          <w:left w:w="108" w:type="dxa"/>
          <w:bottom w:w="0" w:type="dxa"/>
          <w:right w:w="108" w:type="dxa"/>
        </w:tblCellMar>
      </w:tblPr>
      <w:tblGrid>
        <w:gridCol w:w="540"/>
        <w:gridCol w:w="1635"/>
        <w:gridCol w:w="3420"/>
        <w:gridCol w:w="1080"/>
        <w:gridCol w:w="180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收款单位</w:t>
            </w:r>
          </w:p>
        </w:tc>
        <w:tc>
          <w:tcPr>
            <w:tcW w:w="1635" w:type="dxa"/>
            <w:tcBorders>
              <w:top w:val="single" w:color="auto" w:sz="4" w:space="0"/>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收款单位名称</w:t>
            </w:r>
            <w:r>
              <w:rPr>
                <w:rFonts w:ascii="宋体" w:hAnsi="宋体" w:cs="Arial"/>
                <w:color w:val="auto"/>
                <w:szCs w:val="21"/>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635" w:type="dxa"/>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收款单位地址</w:t>
            </w:r>
            <w:r>
              <w:rPr>
                <w:rFonts w:ascii="宋体" w:hAnsi="宋体" w:cs="Arial"/>
                <w:color w:val="auto"/>
                <w:szCs w:val="21"/>
              </w:rPr>
              <w:t xml:space="preserve"> </w:t>
            </w:r>
          </w:p>
        </w:tc>
        <w:tc>
          <w:tcPr>
            <w:tcW w:w="6300" w:type="dxa"/>
            <w:gridSpan w:val="3"/>
            <w:tcBorders>
              <w:top w:val="single" w:color="auto" w:sz="4" w:space="0"/>
              <w:left w:val="nil"/>
              <w:bottom w:val="single" w:color="auto" w:sz="4" w:space="0"/>
              <w:right w:val="single" w:color="auto"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rPr>
                <w:rFonts w:ascii="宋体" w:hAnsi="宋体" w:cs="宋体"/>
                <w:color w:val="auto"/>
                <w:szCs w:val="21"/>
              </w:rPr>
            </w:pPr>
          </w:p>
        </w:tc>
        <w:tc>
          <w:tcPr>
            <w:tcW w:w="1635" w:type="dxa"/>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开 户 银 行</w:t>
            </w:r>
          </w:p>
        </w:tc>
        <w:tc>
          <w:tcPr>
            <w:tcW w:w="3420" w:type="dxa"/>
            <w:tcBorders>
              <w:top w:val="single" w:color="auto" w:sz="4" w:space="0"/>
              <w:left w:val="nil"/>
              <w:bottom w:val="single" w:color="auto" w:sz="4" w:space="0"/>
              <w:right w:val="single" w:color="auto" w:sz="4" w:space="0"/>
            </w:tcBorders>
            <w:vAlign w:val="center"/>
          </w:tcPr>
          <w:p>
            <w:pPr>
              <w:rPr>
                <w:rFonts w:ascii="宋体" w:hAnsi="宋体" w:cs="宋体"/>
                <w:color w:val="auto"/>
                <w:szCs w:val="21"/>
              </w:rPr>
            </w:pPr>
          </w:p>
        </w:tc>
        <w:tc>
          <w:tcPr>
            <w:tcW w:w="1080" w:type="dxa"/>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联 系 人</w:t>
            </w:r>
          </w:p>
        </w:tc>
        <w:tc>
          <w:tcPr>
            <w:tcW w:w="1800" w:type="dxa"/>
            <w:tcBorders>
              <w:top w:val="nil"/>
              <w:left w:val="nil"/>
              <w:bottom w:val="single" w:color="auto" w:sz="4" w:space="0"/>
              <w:right w:val="single" w:color="auto" w:sz="4" w:space="0"/>
            </w:tcBorders>
            <w:vAlign w:val="center"/>
          </w:tcPr>
          <w:p>
            <w:pPr>
              <w:rPr>
                <w:rFonts w:ascii="宋体" w:hAnsi="宋体" w:cs="Arial"/>
                <w:color w:val="auto"/>
                <w:szCs w:val="21"/>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635" w:type="dxa"/>
            <w:tcBorders>
              <w:top w:val="single" w:color="auto" w:sz="4" w:space="0"/>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帐       号</w:t>
            </w:r>
          </w:p>
        </w:tc>
        <w:tc>
          <w:tcPr>
            <w:tcW w:w="3420" w:type="dxa"/>
            <w:tcBorders>
              <w:top w:val="single" w:color="auto" w:sz="4" w:space="0"/>
              <w:left w:val="nil"/>
              <w:bottom w:val="single" w:color="auto" w:sz="4" w:space="0"/>
              <w:right w:val="single" w:color="auto" w:sz="4" w:space="0"/>
            </w:tcBorders>
            <w:vAlign w:val="center"/>
          </w:tcPr>
          <w:p>
            <w:pPr>
              <w:rPr>
                <w:rFonts w:ascii="宋体" w:hAnsi="宋体" w:cs="宋体"/>
                <w:color w:val="auto"/>
                <w:szCs w:val="21"/>
              </w:rPr>
            </w:pPr>
          </w:p>
        </w:tc>
        <w:tc>
          <w:tcPr>
            <w:tcW w:w="1080" w:type="dxa"/>
            <w:tcBorders>
              <w:top w:val="single" w:color="auto" w:sz="4" w:space="0"/>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联系电话</w:t>
            </w:r>
          </w:p>
        </w:tc>
        <w:tc>
          <w:tcPr>
            <w:tcW w:w="1800" w:type="dxa"/>
            <w:tcBorders>
              <w:top w:val="single" w:color="auto" w:sz="4" w:space="0"/>
              <w:left w:val="nil"/>
              <w:bottom w:val="single" w:color="auto" w:sz="4" w:space="0"/>
              <w:right w:val="single" w:color="auto" w:sz="4" w:space="0"/>
            </w:tcBorders>
            <w:vAlign w:val="center"/>
          </w:tcPr>
          <w:p>
            <w:pPr>
              <w:rPr>
                <w:rFonts w:ascii="宋体" w:hAnsi="宋体" w:cs="Arial"/>
                <w:color w:val="auto"/>
                <w:szCs w:val="21"/>
              </w:rPr>
            </w:pPr>
          </w:p>
        </w:tc>
      </w:tr>
    </w:tbl>
    <w:p>
      <w:pPr>
        <w:tabs>
          <w:tab w:val="left" w:pos="676"/>
          <w:tab w:val="left" w:pos="2330"/>
          <w:tab w:val="left" w:pos="9230"/>
        </w:tabs>
        <w:autoSpaceDE w:val="0"/>
        <w:autoSpaceDN w:val="0"/>
        <w:adjustRightInd w:val="0"/>
        <w:spacing w:line="480" w:lineRule="exact"/>
        <w:ind w:left="4700" w:leftChars="2238"/>
        <w:rPr>
          <w:rFonts w:ascii="宋体" w:hAnsi="宋体"/>
          <w:color w:val="auto"/>
        </w:rPr>
      </w:pPr>
      <w:r>
        <w:rPr>
          <w:rFonts w:hint="eastAsia" w:ascii="宋体" w:hAnsi="宋体"/>
          <w:color w:val="auto"/>
        </w:rPr>
        <w:t>报价人（公章）：</w:t>
      </w:r>
    </w:p>
    <w:p>
      <w:pPr>
        <w:pStyle w:val="14"/>
        <w:spacing w:line="480" w:lineRule="exact"/>
        <w:ind w:left="4700" w:leftChars="2238"/>
        <w:rPr>
          <w:rFonts w:hAnsi="宋体"/>
          <w:color w:val="auto"/>
        </w:rPr>
      </w:pPr>
      <w:r>
        <w:rPr>
          <w:rFonts w:hAnsi="宋体"/>
          <w:color w:val="auto"/>
        </w:rPr>
        <w:t>日       期：</w:t>
      </w:r>
    </w:p>
    <w:p>
      <w:pPr>
        <w:pStyle w:val="14"/>
        <w:spacing w:line="480" w:lineRule="exact"/>
        <w:rPr>
          <w:rFonts w:hAnsi="宋体"/>
          <w:color w:val="auto"/>
        </w:rPr>
      </w:pPr>
      <w:r>
        <w:rPr>
          <w:rFonts w:hint="eastAsia" w:hAnsi="宋体"/>
          <w:color w:val="auto"/>
          <w:u w:val="single"/>
        </w:rPr>
        <w:t xml:space="preserve">（ 以下内容由采购代理机构填写，报价人须保留此表 ）                                                                                   </w:t>
      </w:r>
    </w:p>
    <w:tbl>
      <w:tblPr>
        <w:tblStyle w:val="30"/>
        <w:tblW w:w="9195" w:type="dxa"/>
        <w:tblInd w:w="93" w:type="dxa"/>
        <w:tblLayout w:type="fixed"/>
        <w:tblCellMar>
          <w:top w:w="0" w:type="dxa"/>
          <w:left w:w="108" w:type="dxa"/>
          <w:bottom w:w="0" w:type="dxa"/>
          <w:right w:w="108" w:type="dxa"/>
        </w:tblCellMar>
      </w:tblPr>
      <w:tblGrid>
        <w:gridCol w:w="9195"/>
      </w:tblGrid>
      <w:tr>
        <w:tblPrEx>
          <w:tblLayout w:type="fixed"/>
          <w:tblCellMar>
            <w:top w:w="0" w:type="dxa"/>
            <w:left w:w="108" w:type="dxa"/>
            <w:bottom w:w="0" w:type="dxa"/>
            <w:right w:w="108" w:type="dxa"/>
          </w:tblCellMar>
        </w:tblPrEx>
        <w:trPr>
          <w:trHeight w:val="855" w:hRule="atLeast"/>
        </w:trPr>
        <w:tc>
          <w:tcPr>
            <w:tcW w:w="9195" w:type="dxa"/>
            <w:tcBorders>
              <w:top w:val="nil"/>
              <w:left w:val="nil"/>
              <w:bottom w:val="nil"/>
              <w:right w:val="nil"/>
            </w:tcBorders>
            <w:vAlign w:val="center"/>
          </w:tcPr>
          <w:p>
            <w:pPr>
              <w:jc w:val="center"/>
              <w:rPr>
                <w:rFonts w:ascii="宋体" w:hAnsi="宋体" w:cs="宋体"/>
                <w:b/>
                <w:bCs/>
                <w:color w:val="auto"/>
                <w:sz w:val="32"/>
                <w:szCs w:val="32"/>
              </w:rPr>
            </w:pPr>
            <w:r>
              <w:rPr>
                <w:rFonts w:hint="eastAsia" w:ascii="宋体" w:hAnsi="宋体" w:cs="宋体"/>
                <w:b/>
                <w:bCs/>
                <w:color w:val="auto"/>
                <w:sz w:val="32"/>
                <w:szCs w:val="32"/>
              </w:rPr>
              <w:t>付款申请表</w:t>
            </w:r>
          </w:p>
          <w:tbl>
            <w:tblPr>
              <w:tblStyle w:val="30"/>
              <w:tblW w:w="8542" w:type="dxa"/>
              <w:tblInd w:w="0" w:type="dxa"/>
              <w:tblLayout w:type="fixed"/>
              <w:tblCellMar>
                <w:top w:w="0" w:type="dxa"/>
                <w:left w:w="108" w:type="dxa"/>
                <w:bottom w:w="0" w:type="dxa"/>
                <w:right w:w="108" w:type="dxa"/>
              </w:tblCellMar>
            </w:tblPr>
            <w:tblGrid>
              <w:gridCol w:w="982"/>
              <w:gridCol w:w="1497"/>
              <w:gridCol w:w="1514"/>
              <w:gridCol w:w="1309"/>
              <w:gridCol w:w="712"/>
              <w:gridCol w:w="2528"/>
            </w:tblGrid>
            <w:tr>
              <w:tblPrEx>
                <w:tblLayout w:type="fixed"/>
                <w:tblCellMar>
                  <w:top w:w="0" w:type="dxa"/>
                  <w:left w:w="108" w:type="dxa"/>
                  <w:bottom w:w="0" w:type="dxa"/>
                  <w:right w:w="108" w:type="dxa"/>
                </w:tblCellMar>
              </w:tblPrEx>
              <w:trPr>
                <w:cantSplit/>
                <w:trHeight w:val="335" w:hRule="atLeast"/>
              </w:trPr>
              <w:tc>
                <w:tcPr>
                  <w:tcW w:w="982"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付款内容</w:t>
                  </w:r>
                </w:p>
              </w:tc>
              <w:tc>
                <w:tcPr>
                  <w:tcW w:w="1497" w:type="dxa"/>
                  <w:tcBorders>
                    <w:top w:val="single" w:color="auto" w:sz="4" w:space="0"/>
                    <w:left w:val="nil"/>
                    <w:right w:val="single" w:color="auto" w:sz="4" w:space="0"/>
                  </w:tcBorders>
                  <w:vAlign w:val="center"/>
                </w:tcPr>
                <w:p>
                  <w:pPr>
                    <w:rPr>
                      <w:rFonts w:ascii="宋体" w:hAnsi="宋体" w:cs="宋体"/>
                      <w:color w:val="auto"/>
                      <w:szCs w:val="21"/>
                    </w:rPr>
                  </w:pPr>
                  <w:r>
                    <w:rPr>
                      <w:rFonts w:hint="eastAsia" w:ascii="宋体" w:hAnsi="宋体" w:cs="宋体"/>
                      <w:color w:val="auto"/>
                      <w:szCs w:val="21"/>
                    </w:rPr>
                    <w:t>付款金额：</w:t>
                  </w:r>
                </w:p>
              </w:tc>
              <w:tc>
                <w:tcPr>
                  <w:tcW w:w="3535" w:type="dxa"/>
                  <w:gridSpan w:val="3"/>
                  <w:tcBorders>
                    <w:top w:val="single" w:color="auto" w:sz="4" w:space="0"/>
                    <w:left w:val="nil"/>
                    <w:bottom w:val="single" w:color="auto" w:sz="4" w:space="0"/>
                    <w:right w:val="single" w:color="auto" w:sz="4" w:space="0"/>
                  </w:tcBorders>
                  <w:vAlign w:val="center"/>
                </w:tcPr>
                <w:p>
                  <w:pPr>
                    <w:ind w:firstLine="2940" w:firstLineChars="1400"/>
                    <w:rPr>
                      <w:rFonts w:ascii="宋体" w:hAnsi="宋体" w:cs="宋体"/>
                      <w:color w:val="auto"/>
                      <w:szCs w:val="21"/>
                    </w:rPr>
                  </w:pPr>
                  <w:r>
                    <w:rPr>
                      <w:rFonts w:hint="eastAsia" w:ascii="宋体" w:hAnsi="宋体" w:cs="宋体"/>
                      <w:color w:val="auto"/>
                      <w:szCs w:val="21"/>
                    </w:rPr>
                    <w:t>元</w:t>
                  </w:r>
                </w:p>
              </w:tc>
              <w:tc>
                <w:tcPr>
                  <w:tcW w:w="2528"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ascii="宋体" w:hAnsi="宋体" w:cs="宋体"/>
                      <w:color w:val="auto"/>
                      <w:szCs w:val="21"/>
                    </w:rPr>
                  </w:pPr>
                  <w:r>
                    <w:rPr>
                      <w:rFonts w:ascii="宋体" w:hAnsi="宋体" w:cs="Arial"/>
                      <w:color w:val="auto"/>
                      <w:szCs w:val="21"/>
                    </w:rPr>
                    <w:t>￥</w:t>
                  </w:r>
                </w:p>
              </w:tc>
            </w:tr>
            <w:tr>
              <w:tblPrEx>
                <w:tblLayout w:type="fixed"/>
                <w:tblCellMar>
                  <w:top w:w="0" w:type="dxa"/>
                  <w:left w:w="108" w:type="dxa"/>
                  <w:bottom w:w="0" w:type="dxa"/>
                  <w:right w:w="108" w:type="dxa"/>
                </w:tblCellMar>
              </w:tblPrEx>
              <w:trPr>
                <w:cantSplit/>
                <w:trHeight w:val="311"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497" w:type="dxa"/>
                  <w:tcBorders>
                    <w:top w:val="nil"/>
                    <w:left w:val="nil"/>
                    <w:bottom w:val="single" w:color="auto" w:sz="4" w:space="0"/>
                    <w:right w:val="nil"/>
                  </w:tcBorders>
                  <w:vAlign w:val="center"/>
                </w:tcPr>
                <w:p>
                  <w:pPr>
                    <w:rPr>
                      <w:rFonts w:ascii="宋体" w:hAnsi="宋体" w:cs="宋体"/>
                      <w:color w:val="auto"/>
                      <w:szCs w:val="21"/>
                    </w:rPr>
                  </w:pPr>
                  <w:r>
                    <w:rPr>
                      <w:rFonts w:hint="eastAsia" w:ascii="宋体" w:hAnsi="宋体" w:cs="宋体"/>
                      <w:color w:val="auto"/>
                      <w:szCs w:val="21"/>
                    </w:rPr>
                    <w:t>已付金额：</w:t>
                  </w:r>
                  <w:r>
                    <w:rPr>
                      <w:rFonts w:ascii="宋体" w:hAnsi="宋体" w:cs="Arial"/>
                      <w:color w:val="auto"/>
                      <w:szCs w:val="21"/>
                    </w:rPr>
                    <w:t xml:space="preserve">  </w:t>
                  </w:r>
                </w:p>
              </w:tc>
              <w:tc>
                <w:tcPr>
                  <w:tcW w:w="3535"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ascii="宋体" w:hAnsi="宋体" w:cs="宋体"/>
                      <w:color w:val="auto"/>
                      <w:szCs w:val="21"/>
                    </w:rPr>
                  </w:pPr>
                  <w:r>
                    <w:rPr>
                      <w:rFonts w:hint="eastAsia" w:ascii="宋体" w:hAnsi="宋体" w:cs="宋体"/>
                      <w:color w:val="auto"/>
                      <w:szCs w:val="21"/>
                    </w:rPr>
                    <w:t>元</w:t>
                  </w:r>
                </w:p>
              </w:tc>
              <w:tc>
                <w:tcPr>
                  <w:tcW w:w="2528" w:type="dxa"/>
                  <w:tcBorders>
                    <w:top w:val="nil"/>
                    <w:left w:val="nil"/>
                    <w:bottom w:val="single" w:color="auto" w:sz="4" w:space="0"/>
                    <w:right w:val="single" w:color="auto" w:sz="4" w:space="0"/>
                  </w:tcBorders>
                  <w:vAlign w:val="center"/>
                </w:tcPr>
                <w:p>
                  <w:pPr>
                    <w:ind w:firstLine="630" w:firstLineChars="300"/>
                    <w:rPr>
                      <w:rFonts w:ascii="宋体" w:hAnsi="宋体" w:cs="Arial"/>
                      <w:color w:val="auto"/>
                      <w:szCs w:val="21"/>
                    </w:rPr>
                  </w:pPr>
                  <w:r>
                    <w:rPr>
                      <w:rFonts w:ascii="宋体" w:hAnsi="宋体" w:cs="Arial"/>
                      <w:color w:val="auto"/>
                      <w:szCs w:val="21"/>
                    </w:rPr>
                    <w:t>￥　</w:t>
                  </w:r>
                </w:p>
              </w:tc>
            </w:tr>
            <w:tr>
              <w:tblPrEx>
                <w:tblLayout w:type="fixed"/>
                <w:tblCellMar>
                  <w:top w:w="0" w:type="dxa"/>
                  <w:left w:w="108" w:type="dxa"/>
                  <w:bottom w:w="0" w:type="dxa"/>
                  <w:right w:w="108" w:type="dxa"/>
                </w:tblCellMar>
              </w:tblPrEx>
              <w:trPr>
                <w:cantSplit/>
                <w:trHeight w:val="263"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497" w:type="dxa"/>
                  <w:vMerge w:val="restart"/>
                  <w:tcBorders>
                    <w:top w:val="nil"/>
                    <w:left w:val="single" w:color="auto" w:sz="4" w:space="0"/>
                    <w:bottom w:val="single" w:color="000000"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付款方式：</w:t>
                  </w:r>
                  <w:r>
                    <w:rPr>
                      <w:rFonts w:ascii="宋体" w:hAnsi="宋体" w:cs="Arial"/>
                      <w:color w:val="auto"/>
                      <w:szCs w:val="21"/>
                    </w:rPr>
                    <w:t xml:space="preserve">                                          </w:t>
                  </w:r>
                </w:p>
              </w:tc>
              <w:tc>
                <w:tcPr>
                  <w:tcW w:w="1514" w:type="dxa"/>
                  <w:tcBorders>
                    <w:top w:val="nil"/>
                    <w:left w:val="nil"/>
                    <w:bottom w:val="single" w:color="auto" w:sz="4" w:space="0"/>
                    <w:right w:val="single" w:color="auto" w:sz="4" w:space="0"/>
                  </w:tcBorders>
                  <w:vAlign w:val="center"/>
                </w:tcPr>
                <w:p>
                  <w:pPr>
                    <w:rPr>
                      <w:rFonts w:ascii="宋体" w:hAnsi="宋体" w:cs="Arial"/>
                      <w:color w:val="auto"/>
                      <w:szCs w:val="21"/>
                    </w:rPr>
                  </w:pPr>
                  <w:r>
                    <w:rPr>
                      <w:rFonts w:ascii="宋体" w:hAnsi="宋体" w:cs="Arial"/>
                      <w:color w:val="auto"/>
                      <w:szCs w:val="21"/>
                    </w:rPr>
                    <w:t>1.</w:t>
                  </w:r>
                  <w:r>
                    <w:rPr>
                      <w:rFonts w:hint="eastAsia" w:ascii="宋体" w:hAnsi="宋体" w:cs="Arial"/>
                      <w:color w:val="auto"/>
                      <w:szCs w:val="21"/>
                    </w:rPr>
                    <w:t>现金；</w:t>
                  </w:r>
                </w:p>
              </w:tc>
              <w:tc>
                <w:tcPr>
                  <w:tcW w:w="1309" w:type="dxa"/>
                  <w:tcBorders>
                    <w:top w:val="nil"/>
                    <w:left w:val="nil"/>
                    <w:bottom w:val="single" w:color="auto" w:sz="4" w:space="0"/>
                    <w:right w:val="single" w:color="auto" w:sz="4" w:space="0"/>
                  </w:tcBorders>
                  <w:vAlign w:val="center"/>
                </w:tcPr>
                <w:p>
                  <w:pPr>
                    <w:rPr>
                      <w:rFonts w:ascii="宋体" w:hAnsi="宋体" w:cs="Arial"/>
                      <w:color w:val="auto"/>
                      <w:szCs w:val="21"/>
                    </w:rPr>
                  </w:pPr>
                  <w:r>
                    <w:rPr>
                      <w:rFonts w:ascii="宋体" w:hAnsi="宋体" w:cs="Arial"/>
                      <w:color w:val="auto"/>
                      <w:szCs w:val="21"/>
                    </w:rPr>
                    <w:t>2.</w:t>
                  </w:r>
                  <w:r>
                    <w:rPr>
                      <w:rFonts w:hint="eastAsia" w:ascii="宋体" w:hAnsi="宋体" w:cs="Arial"/>
                      <w:color w:val="auto"/>
                      <w:szCs w:val="21"/>
                    </w:rPr>
                    <w:t>支票；</w:t>
                  </w:r>
                </w:p>
              </w:tc>
              <w:tc>
                <w:tcPr>
                  <w:tcW w:w="3240" w:type="dxa"/>
                  <w:gridSpan w:val="2"/>
                  <w:tcBorders>
                    <w:top w:val="nil"/>
                    <w:left w:val="nil"/>
                    <w:bottom w:val="single" w:color="auto" w:sz="4" w:space="0"/>
                    <w:right w:val="single" w:color="000000" w:sz="4" w:space="0"/>
                  </w:tcBorders>
                  <w:vAlign w:val="center"/>
                </w:tcPr>
                <w:p>
                  <w:pPr>
                    <w:rPr>
                      <w:rFonts w:ascii="宋体" w:hAnsi="宋体" w:cs="Arial"/>
                      <w:color w:val="auto"/>
                      <w:szCs w:val="21"/>
                    </w:rPr>
                  </w:pPr>
                  <w:r>
                    <w:rPr>
                      <w:rFonts w:ascii="宋体" w:hAnsi="宋体" w:cs="Arial"/>
                      <w:color w:val="auto"/>
                      <w:szCs w:val="21"/>
                    </w:rPr>
                    <w:t xml:space="preserve"> 3.</w:t>
                  </w:r>
                  <w:r>
                    <w:rPr>
                      <w:rFonts w:hint="eastAsia" w:ascii="宋体" w:hAnsi="宋体" w:cs="Arial"/>
                      <w:color w:val="auto"/>
                      <w:szCs w:val="21"/>
                    </w:rPr>
                    <w:t>转账</w:t>
                  </w:r>
                  <w:r>
                    <w:rPr>
                      <w:rFonts w:ascii="宋体" w:hAnsi="宋体" w:cs="Arial"/>
                      <w:color w:val="auto"/>
                      <w:szCs w:val="21"/>
                    </w:rPr>
                    <w:t xml:space="preserve"> </w:t>
                  </w:r>
                  <w:r>
                    <w:rPr>
                      <w:rFonts w:hint="eastAsia" w:ascii="宋体" w:hAnsi="宋体" w:cs="Arial"/>
                      <w:color w:val="auto"/>
                      <w:szCs w:val="21"/>
                    </w:rPr>
                    <w:t>；</w:t>
                  </w:r>
                </w:p>
              </w:tc>
            </w:tr>
            <w:tr>
              <w:tblPrEx>
                <w:tblLayout w:type="fixed"/>
                <w:tblCellMar>
                  <w:top w:w="0" w:type="dxa"/>
                  <w:left w:w="108" w:type="dxa"/>
                  <w:bottom w:w="0" w:type="dxa"/>
                  <w:right w:w="108" w:type="dxa"/>
                </w:tblCellMar>
              </w:tblPrEx>
              <w:trPr>
                <w:cantSplit/>
                <w:trHeight w:val="29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497" w:type="dxa"/>
                  <w:vMerge w:val="continue"/>
                  <w:tcBorders>
                    <w:top w:val="nil"/>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514" w:type="dxa"/>
                  <w:tcBorders>
                    <w:top w:val="nil"/>
                    <w:left w:val="nil"/>
                    <w:bottom w:val="single" w:color="auto" w:sz="4" w:space="0"/>
                    <w:right w:val="single" w:color="auto" w:sz="4" w:space="0"/>
                  </w:tcBorders>
                  <w:vAlign w:val="center"/>
                </w:tcPr>
                <w:p>
                  <w:pPr>
                    <w:rPr>
                      <w:rFonts w:ascii="宋体" w:hAnsi="宋体" w:cs="Arial"/>
                      <w:color w:val="auto"/>
                      <w:szCs w:val="21"/>
                    </w:rPr>
                  </w:pPr>
                  <w:r>
                    <w:rPr>
                      <w:rFonts w:ascii="宋体" w:hAnsi="宋体" w:cs="Arial"/>
                      <w:color w:val="auto"/>
                      <w:szCs w:val="21"/>
                    </w:rPr>
                    <w:t>4.</w:t>
                  </w:r>
                  <w:r>
                    <w:rPr>
                      <w:rFonts w:hint="eastAsia" w:ascii="宋体" w:hAnsi="宋体" w:cs="Arial"/>
                      <w:color w:val="auto"/>
                      <w:szCs w:val="21"/>
                    </w:rPr>
                    <w:t>保函；</w:t>
                  </w: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Arial"/>
                      <w:color w:val="auto"/>
                      <w:szCs w:val="21"/>
                    </w:rPr>
                  </w:pPr>
                  <w:r>
                    <w:rPr>
                      <w:rFonts w:ascii="宋体" w:hAnsi="宋体" w:cs="Arial"/>
                      <w:color w:val="auto"/>
                      <w:szCs w:val="21"/>
                    </w:rPr>
                    <w:t>5.</w:t>
                  </w:r>
                  <w:r>
                    <w:rPr>
                      <w:rFonts w:hint="eastAsia" w:ascii="宋体" w:hAnsi="宋体" w:cs="Arial"/>
                      <w:color w:val="auto"/>
                      <w:szCs w:val="21"/>
                    </w:rPr>
                    <w:t>其它（电汇）；</w:t>
                  </w:r>
                </w:p>
              </w:tc>
            </w:tr>
            <w:tr>
              <w:tblPrEx>
                <w:tblLayout w:type="fixed"/>
                <w:tblCellMar>
                  <w:top w:w="0" w:type="dxa"/>
                  <w:left w:w="108" w:type="dxa"/>
                  <w:bottom w:w="0" w:type="dxa"/>
                  <w:right w:w="108" w:type="dxa"/>
                </w:tblCellMar>
              </w:tblPrEx>
              <w:trPr>
                <w:cantSplit/>
                <w:trHeight w:val="28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1497" w:type="dxa"/>
                  <w:tcBorders>
                    <w:top w:val="nil"/>
                    <w:left w:val="nil"/>
                    <w:bottom w:val="single" w:color="auto" w:sz="4" w:space="0"/>
                    <w:right w:val="single" w:color="auto" w:sz="4" w:space="0"/>
                  </w:tcBorders>
                  <w:vAlign w:val="center"/>
                </w:tcPr>
                <w:p>
                  <w:pPr>
                    <w:rPr>
                      <w:rFonts w:ascii="宋体" w:hAnsi="宋体" w:cs="宋体"/>
                      <w:color w:val="auto"/>
                      <w:szCs w:val="21"/>
                    </w:rPr>
                  </w:pPr>
                  <w:r>
                    <w:rPr>
                      <w:rFonts w:hint="eastAsia" w:ascii="宋体" w:hAnsi="宋体" w:cs="宋体"/>
                      <w:color w:val="auto"/>
                      <w:szCs w:val="21"/>
                    </w:rPr>
                    <w:t>资金来源：</w:t>
                  </w:r>
                </w:p>
              </w:tc>
              <w:tc>
                <w:tcPr>
                  <w:tcW w:w="6063" w:type="dxa"/>
                  <w:gridSpan w:val="4"/>
                  <w:tcBorders>
                    <w:top w:val="single" w:color="auto" w:sz="4" w:space="0"/>
                    <w:left w:val="nil"/>
                    <w:bottom w:val="single" w:color="auto"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保证金</w:t>
                  </w:r>
                </w:p>
              </w:tc>
            </w:tr>
            <w:tr>
              <w:tblPrEx>
                <w:tblLayout w:type="fixed"/>
                <w:tblCellMar>
                  <w:top w:w="0" w:type="dxa"/>
                  <w:left w:w="108" w:type="dxa"/>
                  <w:bottom w:w="0" w:type="dxa"/>
                  <w:right w:w="108" w:type="dxa"/>
                </w:tblCellMar>
              </w:tblPrEx>
              <w:trPr>
                <w:cantSplit/>
                <w:trHeight w:val="545"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ascii="宋体" w:hAnsi="宋体" w:cs="宋体"/>
                      <w:color w:val="auto"/>
                      <w:szCs w:val="21"/>
                    </w:rPr>
                  </w:pPr>
                </w:p>
              </w:tc>
              <w:tc>
                <w:tcPr>
                  <w:tcW w:w="7560" w:type="dxa"/>
                  <w:gridSpan w:val="5"/>
                  <w:tcBorders>
                    <w:top w:val="single" w:color="auto" w:sz="4" w:space="0"/>
                    <w:left w:val="nil"/>
                    <w:bottom w:val="single" w:color="auto" w:sz="4" w:space="0"/>
                    <w:right w:val="single" w:color="000000" w:sz="4" w:space="0"/>
                  </w:tcBorders>
                </w:tcPr>
                <w:p>
                  <w:pPr>
                    <w:rPr>
                      <w:rFonts w:ascii="宋体" w:hAnsi="宋体" w:cs="宋体"/>
                      <w:color w:val="auto"/>
                      <w:szCs w:val="21"/>
                    </w:rPr>
                  </w:pPr>
                  <w:r>
                    <w:rPr>
                      <w:rFonts w:hint="eastAsia" w:ascii="宋体" w:hAnsi="宋体" w:cs="宋体"/>
                      <w:color w:val="auto"/>
                      <w:szCs w:val="21"/>
                    </w:rPr>
                    <w:t>备注：</w:t>
                  </w:r>
                  <w:r>
                    <w:rPr>
                      <w:rFonts w:ascii="宋体" w:hAnsi="宋体" w:cs="宋体"/>
                      <w:color w:val="auto"/>
                      <w:szCs w:val="21"/>
                    </w:rPr>
                    <w:t xml:space="preserve"> </w:t>
                  </w:r>
                </w:p>
              </w:tc>
            </w:tr>
            <w:tr>
              <w:tblPrEx>
                <w:tblLayout w:type="fixed"/>
                <w:tblCellMar>
                  <w:top w:w="0" w:type="dxa"/>
                  <w:left w:w="108" w:type="dxa"/>
                  <w:bottom w:w="0" w:type="dxa"/>
                  <w:right w:w="108" w:type="dxa"/>
                </w:tblCellMar>
              </w:tblPrEx>
              <w:trPr>
                <w:trHeight w:val="715" w:hRule="atLeast"/>
              </w:trPr>
              <w:tc>
                <w:tcPr>
                  <w:tcW w:w="982" w:type="dxa"/>
                  <w:tcBorders>
                    <w:top w:val="nil"/>
                    <w:left w:val="single" w:color="auto" w:sz="4" w:space="0"/>
                    <w:bottom w:val="single" w:color="000000"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经办及审批</w:t>
                  </w:r>
                </w:p>
              </w:tc>
              <w:tc>
                <w:tcPr>
                  <w:tcW w:w="3011" w:type="dxa"/>
                  <w:gridSpan w:val="2"/>
                  <w:tcBorders>
                    <w:top w:val="single" w:color="auto" w:sz="4" w:space="0"/>
                    <w:left w:val="nil"/>
                    <w:bottom w:val="single" w:color="auto" w:sz="4" w:space="0"/>
                    <w:right w:val="single" w:color="000000" w:sz="4" w:space="0"/>
                  </w:tcBorders>
                  <w:vAlign w:val="center"/>
                </w:tcPr>
                <w:p>
                  <w:pPr>
                    <w:rPr>
                      <w:rFonts w:ascii="宋体" w:hAnsi="宋体" w:cs="宋体"/>
                      <w:color w:val="auto"/>
                      <w:szCs w:val="21"/>
                    </w:rPr>
                  </w:pPr>
                  <w:r>
                    <w:rPr>
                      <w:rFonts w:hint="eastAsia" w:ascii="宋体" w:hAnsi="宋体" w:cs="宋体"/>
                      <w:color w:val="auto"/>
                      <w:szCs w:val="21"/>
                    </w:rPr>
                    <w:t>申请人：</w:t>
                  </w: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宋体"/>
                      <w:color w:val="auto"/>
                      <w:szCs w:val="21"/>
                    </w:rPr>
                  </w:pPr>
                  <w:r>
                    <w:rPr>
                      <w:rFonts w:hint="eastAsia" w:ascii="宋体" w:hAnsi="宋体" w:cs="宋体"/>
                      <w:color w:val="auto"/>
                      <w:szCs w:val="21"/>
                    </w:rPr>
                    <w:t>采购部门负责人：</w:t>
                  </w:r>
                </w:p>
              </w:tc>
            </w:tr>
            <w:tr>
              <w:tblPrEx>
                <w:tblLayout w:type="fixed"/>
                <w:tblCellMar>
                  <w:top w:w="0" w:type="dxa"/>
                  <w:left w:w="108" w:type="dxa"/>
                  <w:bottom w:w="0" w:type="dxa"/>
                  <w:right w:w="108" w:type="dxa"/>
                </w:tblCellMar>
              </w:tblPrEx>
              <w:trPr>
                <w:trHeight w:val="888" w:hRule="atLeast"/>
              </w:trPr>
              <w:tc>
                <w:tcPr>
                  <w:tcW w:w="982" w:type="dxa"/>
                  <w:tcBorders>
                    <w:top w:val="nil"/>
                    <w:left w:val="single" w:color="auto" w:sz="4" w:space="0"/>
                    <w:bottom w:val="single" w:color="000000"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合同管理人员审核</w:t>
                  </w:r>
                </w:p>
              </w:tc>
              <w:tc>
                <w:tcPr>
                  <w:tcW w:w="3011" w:type="dxa"/>
                  <w:gridSpan w:val="2"/>
                  <w:tcBorders>
                    <w:top w:val="single" w:color="auto" w:sz="4" w:space="0"/>
                    <w:left w:val="nil"/>
                    <w:bottom w:val="single" w:color="auto" w:sz="4" w:space="0"/>
                    <w:right w:val="single" w:color="000000" w:sz="4" w:space="0"/>
                  </w:tcBorders>
                  <w:vAlign w:val="center"/>
                </w:tcPr>
                <w:p>
                  <w:pPr>
                    <w:rPr>
                      <w:rFonts w:ascii="宋体" w:hAnsi="宋体" w:cs="宋体"/>
                      <w:color w:val="auto"/>
                      <w:szCs w:val="21"/>
                    </w:rPr>
                  </w:pP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trHeight w:val="928" w:hRule="atLeast"/>
              </w:trPr>
              <w:tc>
                <w:tcPr>
                  <w:tcW w:w="982" w:type="dxa"/>
                  <w:tcBorders>
                    <w:top w:val="nil"/>
                    <w:left w:val="single" w:color="auto" w:sz="4" w:space="0"/>
                    <w:bottom w:val="single" w:color="000000" w:sz="4" w:space="0"/>
                    <w:right w:val="single" w:color="auto" w:sz="4" w:space="0"/>
                  </w:tcBorders>
                  <w:vAlign w:val="center"/>
                </w:tcPr>
                <w:p>
                  <w:pPr>
                    <w:jc w:val="center"/>
                    <w:rPr>
                      <w:rFonts w:ascii="宋体" w:hAnsi="宋体" w:cs="宋体"/>
                      <w:color w:val="auto"/>
                      <w:szCs w:val="21"/>
                    </w:rPr>
                  </w:pPr>
                  <w:r>
                    <w:rPr>
                      <w:rFonts w:hint="eastAsia" w:ascii="宋体" w:hAnsi="宋体" w:cs="宋体"/>
                      <w:color w:val="auto"/>
                      <w:szCs w:val="21"/>
                    </w:rPr>
                    <w:t>财务部门审核</w:t>
                  </w:r>
                </w:p>
              </w:tc>
              <w:tc>
                <w:tcPr>
                  <w:tcW w:w="3011" w:type="dxa"/>
                  <w:gridSpan w:val="2"/>
                  <w:tcBorders>
                    <w:top w:val="single" w:color="auto" w:sz="4" w:space="0"/>
                    <w:left w:val="nil"/>
                    <w:bottom w:val="single" w:color="auto" w:sz="4" w:space="0"/>
                    <w:right w:val="single" w:color="000000" w:sz="4" w:space="0"/>
                  </w:tcBorders>
                  <w:vAlign w:val="center"/>
                </w:tcPr>
                <w:p>
                  <w:pPr>
                    <w:rPr>
                      <w:rFonts w:ascii="宋体" w:hAnsi="宋体" w:cs="宋体"/>
                      <w:color w:val="auto"/>
                      <w:szCs w:val="21"/>
                    </w:rPr>
                  </w:pPr>
                </w:p>
              </w:tc>
              <w:tc>
                <w:tcPr>
                  <w:tcW w:w="4549" w:type="dxa"/>
                  <w:gridSpan w:val="3"/>
                  <w:tcBorders>
                    <w:top w:val="single" w:color="auto" w:sz="4" w:space="0"/>
                    <w:left w:val="nil"/>
                    <w:bottom w:val="single" w:color="auto" w:sz="4" w:space="0"/>
                    <w:right w:val="single" w:color="000000" w:sz="4" w:space="0"/>
                  </w:tcBorders>
                  <w:vAlign w:val="center"/>
                </w:tcPr>
                <w:p>
                  <w:pPr>
                    <w:rPr>
                      <w:rFonts w:ascii="宋体" w:hAnsi="宋体" w:cs="宋体"/>
                      <w:color w:val="auto"/>
                      <w:szCs w:val="21"/>
                    </w:rPr>
                  </w:pPr>
                </w:p>
              </w:tc>
            </w:tr>
            <w:tr>
              <w:tblPrEx>
                <w:tblLayout w:type="fixed"/>
                <w:tblCellMar>
                  <w:top w:w="0" w:type="dxa"/>
                  <w:left w:w="108" w:type="dxa"/>
                  <w:bottom w:w="0" w:type="dxa"/>
                  <w:right w:w="108" w:type="dxa"/>
                </w:tblCellMar>
              </w:tblPrEx>
              <w:trPr>
                <w:trHeight w:val="405" w:hRule="atLeast"/>
              </w:trPr>
              <w:tc>
                <w:tcPr>
                  <w:tcW w:w="8542" w:type="dxa"/>
                  <w:gridSpan w:val="6"/>
                  <w:tcBorders>
                    <w:top w:val="nil"/>
                    <w:left w:val="nil"/>
                    <w:bottom w:val="nil"/>
                    <w:right w:val="nil"/>
                  </w:tcBorders>
                  <w:vAlign w:val="center"/>
                </w:tcPr>
                <w:p>
                  <w:pPr>
                    <w:jc w:val="center"/>
                    <w:rPr>
                      <w:rFonts w:ascii="宋体" w:hAnsi="宋体" w:cs="宋体"/>
                      <w:color w:val="auto"/>
                      <w:szCs w:val="21"/>
                    </w:rPr>
                  </w:pPr>
                </w:p>
              </w:tc>
            </w:tr>
          </w:tbl>
          <w:p>
            <w:pPr>
              <w:jc w:val="center"/>
              <w:rPr>
                <w:rFonts w:ascii="宋体" w:hAnsi="宋体" w:cs="宋体"/>
                <w:b/>
                <w:bCs/>
                <w:color w:val="auto"/>
                <w:sz w:val="32"/>
                <w:szCs w:val="32"/>
              </w:rPr>
            </w:pPr>
          </w:p>
        </w:tc>
      </w:tr>
    </w:tbl>
    <w:p>
      <w:pPr>
        <w:adjustRightInd w:val="0"/>
        <w:snapToGrid w:val="0"/>
        <w:spacing w:line="360" w:lineRule="auto"/>
        <w:ind w:firstLine="315" w:firstLineChars="150"/>
        <w:rPr>
          <w:color w:val="auto"/>
        </w:rPr>
      </w:pPr>
    </w:p>
    <w:p>
      <w:pPr>
        <w:adjustRightInd w:val="0"/>
        <w:snapToGrid w:val="0"/>
        <w:spacing w:line="360" w:lineRule="auto"/>
        <w:rPr>
          <w:color w:val="auto"/>
        </w:rPr>
      </w:pPr>
      <w:r>
        <w:rPr>
          <w:color w:val="auto"/>
        </w:rPr>
        <w:t xml:space="preserve"> </w:t>
      </w:r>
    </w:p>
    <w:p>
      <w:pPr>
        <w:adjustRightInd w:val="0"/>
        <w:snapToGrid w:val="0"/>
        <w:spacing w:line="360" w:lineRule="auto"/>
        <w:rPr>
          <w:rFonts w:ascii="宋体" w:hAnsi="宋体"/>
          <w:color w:val="auto"/>
          <w:szCs w:val="21"/>
          <w:u w:val="single"/>
        </w:rPr>
      </w:pPr>
      <w:r>
        <w:rPr>
          <w:color w:val="auto"/>
        </w:rPr>
        <w:br w:type="page"/>
      </w:r>
      <w:bookmarkStart w:id="28" w:name="_Toc42951056"/>
      <w:r>
        <w:rPr>
          <w:rFonts w:hint="eastAsia"/>
          <w:b/>
          <w:bCs/>
          <w:color w:val="auto"/>
          <w:kern w:val="44"/>
          <w:sz w:val="32"/>
          <w:szCs w:val="32"/>
        </w:rPr>
        <w:t xml:space="preserve"> </w:t>
      </w:r>
      <w:r>
        <w:rPr>
          <w:rFonts w:hint="eastAsia"/>
          <w:b/>
          <w:bCs/>
          <w:color w:val="auto"/>
          <w:kern w:val="44"/>
          <w:sz w:val="32"/>
          <w:szCs w:val="32"/>
          <w:lang w:val="en-US" w:eastAsia="zh-CN"/>
        </w:rPr>
        <w:t>6</w:t>
      </w:r>
      <w:r>
        <w:rPr>
          <w:rFonts w:hint="eastAsia"/>
          <w:b/>
          <w:bCs/>
          <w:color w:val="auto"/>
          <w:kern w:val="44"/>
          <w:sz w:val="32"/>
          <w:szCs w:val="32"/>
        </w:rPr>
        <w:t>．商务响应表格式</w:t>
      </w:r>
      <w:bookmarkEnd w:id="28"/>
    </w:p>
    <w:p>
      <w:pPr>
        <w:pStyle w:val="5"/>
        <w:tabs>
          <w:tab w:val="clear" w:pos="864"/>
        </w:tabs>
        <w:ind w:left="0" w:firstLine="0"/>
        <w:rPr>
          <w:rFonts w:ascii="宋体" w:hAnsi="宋体" w:eastAsia="宋体"/>
          <w:color w:val="auto"/>
        </w:rPr>
      </w:pPr>
      <w:r>
        <w:rPr>
          <w:rFonts w:hint="eastAsia" w:ascii="宋体" w:hAnsi="宋体" w:eastAsia="宋体"/>
          <w:color w:val="auto"/>
        </w:rPr>
        <w:t>（1）商务条款响应表</w:t>
      </w:r>
    </w:p>
    <w:tbl>
      <w:tblPr>
        <w:tblStyle w:val="30"/>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ascii="宋体" w:hAnsi="宋体"/>
                <w:b/>
                <w:bCs/>
                <w:color w:val="auto"/>
                <w:szCs w:val="21"/>
              </w:rPr>
            </w:pPr>
            <w:r>
              <w:rPr>
                <w:rFonts w:hint="eastAsia" w:ascii="宋体" w:hAnsi="宋体"/>
                <w:b/>
                <w:bCs/>
                <w:color w:val="auto"/>
                <w:szCs w:val="21"/>
              </w:rPr>
              <w:t>序号</w:t>
            </w:r>
          </w:p>
        </w:tc>
        <w:tc>
          <w:tcPr>
            <w:tcW w:w="5828" w:type="dxa"/>
            <w:shd w:val="clear" w:color="auto" w:fill="F3F3F3"/>
            <w:vAlign w:val="center"/>
          </w:tcPr>
          <w:p>
            <w:pPr>
              <w:jc w:val="center"/>
              <w:rPr>
                <w:rFonts w:ascii="宋体" w:hAnsi="宋体"/>
                <w:b/>
                <w:bCs/>
                <w:color w:val="auto"/>
                <w:szCs w:val="21"/>
              </w:rPr>
            </w:pPr>
            <w:r>
              <w:rPr>
                <w:rFonts w:hint="eastAsia" w:ascii="宋体" w:hAnsi="宋体"/>
                <w:b/>
                <w:bCs/>
                <w:color w:val="auto"/>
                <w:szCs w:val="21"/>
              </w:rPr>
              <w:t>商务条款要求</w:t>
            </w:r>
          </w:p>
        </w:tc>
        <w:tc>
          <w:tcPr>
            <w:tcW w:w="758" w:type="dxa"/>
            <w:shd w:val="clear" w:color="auto" w:fill="F3F3F3"/>
            <w:vAlign w:val="center"/>
          </w:tcPr>
          <w:p>
            <w:pPr>
              <w:jc w:val="center"/>
              <w:rPr>
                <w:rFonts w:ascii="宋体" w:hAnsi="宋体"/>
                <w:b/>
                <w:bCs/>
                <w:color w:val="auto"/>
                <w:szCs w:val="21"/>
              </w:rPr>
            </w:pPr>
            <w:r>
              <w:rPr>
                <w:rFonts w:hint="eastAsia" w:ascii="宋体" w:hAnsi="宋体"/>
                <w:b/>
                <w:bCs/>
                <w:color w:val="auto"/>
                <w:szCs w:val="21"/>
              </w:rPr>
              <w:t>是否响应</w:t>
            </w:r>
          </w:p>
        </w:tc>
        <w:tc>
          <w:tcPr>
            <w:tcW w:w="2017" w:type="dxa"/>
            <w:shd w:val="clear" w:color="auto" w:fill="F3F3F3"/>
            <w:vAlign w:val="center"/>
          </w:tcPr>
          <w:p>
            <w:pPr>
              <w:jc w:val="center"/>
              <w:rPr>
                <w:rFonts w:ascii="宋体" w:hAnsi="宋体"/>
                <w:b/>
                <w:bCs/>
                <w:color w:val="auto"/>
                <w:szCs w:val="21"/>
              </w:rPr>
            </w:pPr>
            <w:r>
              <w:rPr>
                <w:rFonts w:hint="eastAsia" w:ascii="宋体" w:hAnsi="宋体"/>
                <w:b/>
                <w:bCs/>
                <w:color w:val="auto"/>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pStyle w:val="49"/>
              <w:keepNext w:val="0"/>
              <w:adjustRightInd/>
              <w:spacing w:before="0" w:after="0" w:line="240" w:lineRule="auto"/>
              <w:rPr>
                <w:rFonts w:ascii="宋体" w:hAnsi="宋体"/>
                <w:color w:val="auto"/>
                <w:spacing w:val="0"/>
                <w:kern w:val="2"/>
                <w:sz w:val="21"/>
                <w:szCs w:val="21"/>
              </w:rPr>
            </w:pPr>
          </w:p>
        </w:tc>
        <w:tc>
          <w:tcPr>
            <w:tcW w:w="2017"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pStyle w:val="49"/>
              <w:keepNext w:val="0"/>
              <w:adjustRightInd/>
              <w:spacing w:before="0" w:after="0" w:line="240" w:lineRule="auto"/>
              <w:rPr>
                <w:rFonts w:ascii="宋体" w:hAnsi="宋体"/>
                <w:color w:val="auto"/>
                <w:spacing w:val="0"/>
                <w:kern w:val="2"/>
                <w:sz w:val="21"/>
                <w:szCs w:val="21"/>
              </w:rPr>
            </w:pPr>
          </w:p>
        </w:tc>
        <w:tc>
          <w:tcPr>
            <w:tcW w:w="2017"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jc w:val="center"/>
              <w:rPr>
                <w:rFonts w:ascii="宋体" w:hAnsi="宋体"/>
                <w:color w:val="auto"/>
                <w:szCs w:val="21"/>
              </w:rPr>
            </w:pPr>
          </w:p>
        </w:tc>
        <w:tc>
          <w:tcPr>
            <w:tcW w:w="2017" w:type="dxa"/>
            <w:vAlign w:val="center"/>
          </w:tcPr>
          <w:p>
            <w:pPr>
              <w:ind w:right="-35"/>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jc w:val="center"/>
              <w:rPr>
                <w:rFonts w:ascii="宋体" w:hAnsi="宋体"/>
                <w:color w:val="auto"/>
                <w:szCs w:val="21"/>
              </w:rPr>
            </w:pPr>
          </w:p>
        </w:tc>
        <w:tc>
          <w:tcPr>
            <w:tcW w:w="2017" w:type="dxa"/>
            <w:vAlign w:val="center"/>
          </w:tcPr>
          <w:p>
            <w:pPr>
              <w:ind w:right="-35"/>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i/>
                <w:iCs/>
                <w:color w:val="auto"/>
                <w:szCs w:val="21"/>
              </w:rPr>
            </w:pPr>
          </w:p>
        </w:tc>
        <w:tc>
          <w:tcPr>
            <w:tcW w:w="758" w:type="dxa"/>
            <w:vAlign w:val="center"/>
          </w:tcPr>
          <w:p>
            <w:pPr>
              <w:jc w:val="center"/>
              <w:rPr>
                <w:rFonts w:ascii="宋体" w:hAnsi="宋体"/>
                <w:color w:val="auto"/>
                <w:szCs w:val="21"/>
              </w:rPr>
            </w:pPr>
          </w:p>
        </w:tc>
        <w:tc>
          <w:tcPr>
            <w:tcW w:w="2017" w:type="dxa"/>
            <w:vAlign w:val="center"/>
          </w:tcPr>
          <w:p>
            <w:pPr>
              <w:ind w:right="-35"/>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jc w:val="center"/>
              <w:rPr>
                <w:rFonts w:ascii="宋体" w:hAnsi="宋体"/>
                <w:color w:val="auto"/>
                <w:szCs w:val="21"/>
              </w:rPr>
            </w:pPr>
          </w:p>
        </w:tc>
        <w:tc>
          <w:tcPr>
            <w:tcW w:w="2017" w:type="dxa"/>
            <w:vAlign w:val="center"/>
          </w:tcPr>
          <w:p>
            <w:pPr>
              <w:ind w:right="-35"/>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jc w:val="center"/>
              <w:rPr>
                <w:rFonts w:ascii="宋体" w:hAnsi="宋体"/>
                <w:color w:val="auto"/>
                <w:szCs w:val="21"/>
              </w:rPr>
            </w:pPr>
          </w:p>
        </w:tc>
        <w:tc>
          <w:tcPr>
            <w:tcW w:w="2017" w:type="dxa"/>
            <w:vAlign w:val="center"/>
          </w:tcPr>
          <w:p>
            <w:pPr>
              <w:ind w:right="-35"/>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jc w:val="center"/>
              <w:rPr>
                <w:rFonts w:ascii="宋体" w:hAnsi="宋体"/>
                <w:color w:val="auto"/>
                <w:szCs w:val="21"/>
              </w:rPr>
            </w:pPr>
          </w:p>
        </w:tc>
        <w:tc>
          <w:tcPr>
            <w:tcW w:w="2017" w:type="dxa"/>
            <w:vAlign w:val="center"/>
          </w:tcPr>
          <w:p>
            <w:pPr>
              <w:pStyle w:val="49"/>
              <w:keepNext w:val="0"/>
              <w:adjustRightInd/>
              <w:spacing w:before="0" w:after="0" w:line="240" w:lineRule="auto"/>
              <w:rPr>
                <w:rFonts w:ascii="宋体" w:hAnsi="宋体"/>
                <w:color w:val="auto"/>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jc w:val="center"/>
              <w:rPr>
                <w:rFonts w:ascii="宋体" w:hAnsi="宋体"/>
                <w:color w:val="auto"/>
                <w:szCs w:val="21"/>
              </w:rPr>
            </w:pPr>
          </w:p>
        </w:tc>
        <w:tc>
          <w:tcPr>
            <w:tcW w:w="2017"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jc w:val="center"/>
              <w:rPr>
                <w:rFonts w:ascii="宋体" w:hAnsi="宋体"/>
                <w:color w:val="auto"/>
                <w:szCs w:val="21"/>
              </w:rPr>
            </w:pPr>
          </w:p>
        </w:tc>
        <w:tc>
          <w:tcPr>
            <w:tcW w:w="2017"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jc w:val="center"/>
              <w:rPr>
                <w:rFonts w:ascii="宋体" w:hAnsi="宋体"/>
                <w:color w:val="auto"/>
                <w:szCs w:val="21"/>
              </w:rPr>
            </w:pPr>
          </w:p>
        </w:tc>
        <w:tc>
          <w:tcPr>
            <w:tcW w:w="2017"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jc w:val="center"/>
              <w:rPr>
                <w:rFonts w:ascii="宋体" w:hAnsi="宋体"/>
                <w:color w:val="auto"/>
                <w:szCs w:val="21"/>
              </w:rPr>
            </w:pPr>
          </w:p>
        </w:tc>
        <w:tc>
          <w:tcPr>
            <w:tcW w:w="2017"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jc w:val="center"/>
              <w:rPr>
                <w:rFonts w:ascii="宋体" w:hAnsi="宋体"/>
                <w:color w:val="auto"/>
                <w:szCs w:val="21"/>
                <w:lang w:val="en-GB"/>
              </w:rPr>
            </w:pPr>
          </w:p>
        </w:tc>
        <w:tc>
          <w:tcPr>
            <w:tcW w:w="2017"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16"/>
              </w:numPr>
              <w:tabs>
                <w:tab w:val="left" w:pos="170"/>
                <w:tab w:val="clear" w:pos="840"/>
              </w:tabs>
              <w:ind w:left="170" w:hanging="170"/>
              <w:jc w:val="center"/>
              <w:rPr>
                <w:rFonts w:ascii="宋体" w:hAnsi="宋体"/>
                <w:color w:val="auto"/>
                <w:szCs w:val="21"/>
              </w:rPr>
            </w:pPr>
          </w:p>
        </w:tc>
        <w:tc>
          <w:tcPr>
            <w:tcW w:w="5828" w:type="dxa"/>
            <w:vAlign w:val="center"/>
          </w:tcPr>
          <w:p>
            <w:pPr>
              <w:rPr>
                <w:rFonts w:ascii="宋体" w:hAnsi="宋体"/>
                <w:color w:val="auto"/>
                <w:szCs w:val="21"/>
              </w:rPr>
            </w:pPr>
          </w:p>
        </w:tc>
        <w:tc>
          <w:tcPr>
            <w:tcW w:w="758" w:type="dxa"/>
            <w:vAlign w:val="center"/>
          </w:tcPr>
          <w:p>
            <w:pPr>
              <w:jc w:val="center"/>
              <w:rPr>
                <w:rFonts w:ascii="宋体" w:hAnsi="宋体"/>
                <w:color w:val="auto"/>
                <w:szCs w:val="21"/>
              </w:rPr>
            </w:pPr>
          </w:p>
        </w:tc>
        <w:tc>
          <w:tcPr>
            <w:tcW w:w="2017" w:type="dxa"/>
            <w:vAlign w:val="center"/>
          </w:tcPr>
          <w:p>
            <w:pPr>
              <w:pStyle w:val="49"/>
              <w:keepNext w:val="0"/>
              <w:adjustRightInd/>
              <w:spacing w:before="0" w:after="0" w:line="240" w:lineRule="auto"/>
              <w:rPr>
                <w:rFonts w:ascii="宋体" w:hAnsi="宋体"/>
                <w:color w:val="auto"/>
                <w:spacing w:val="0"/>
                <w:kern w:val="2"/>
                <w:sz w:val="21"/>
                <w:szCs w:val="21"/>
              </w:rPr>
            </w:pPr>
          </w:p>
        </w:tc>
      </w:tr>
    </w:tbl>
    <w:p>
      <w:pPr>
        <w:ind w:left="735" w:leftChars="150" w:hanging="420" w:hangingChars="200"/>
        <w:rPr>
          <w:rFonts w:ascii="宋体" w:hAnsi="宋体"/>
          <w:color w:val="auto"/>
          <w:szCs w:val="21"/>
          <w:lang w:val="en-GB"/>
        </w:rPr>
      </w:pPr>
      <w:r>
        <w:rPr>
          <w:rFonts w:hint="eastAsia" w:ascii="宋体" w:hAnsi="宋体"/>
          <w:color w:val="auto"/>
          <w:szCs w:val="21"/>
          <w:lang w:val="en-GB"/>
        </w:rPr>
        <w:t>注：1.</w:t>
      </w:r>
      <w:r>
        <w:rPr>
          <w:rFonts w:hint="eastAsia" w:ascii="宋体" w:hAnsi="宋体"/>
          <w:color w:val="auto"/>
          <w:szCs w:val="21"/>
        </w:rPr>
        <w:t>对</w:t>
      </w:r>
      <w:r>
        <w:rPr>
          <w:rFonts w:hint="eastAsia" w:ascii="宋体" w:hAnsi="宋体"/>
          <w:color w:val="auto"/>
          <w:szCs w:val="21"/>
          <w:lang w:val="en-GB"/>
        </w:rPr>
        <w:t>于上述要求，如报价人/响应供应商完全响应，则请在“是否响应”栏内打“√”，对空白或打“×”视为偏离，请在“偏离说明”栏内扼要说明偏离情况。</w:t>
      </w:r>
    </w:p>
    <w:p>
      <w:pPr>
        <w:ind w:firstLine="630" w:firstLineChars="300"/>
        <w:rPr>
          <w:rFonts w:ascii="宋体" w:hAnsi="宋体"/>
          <w:color w:val="auto"/>
          <w:szCs w:val="21"/>
          <w:lang w:val="en-GB"/>
        </w:rPr>
      </w:pPr>
      <w:r>
        <w:rPr>
          <w:rFonts w:hint="eastAsia" w:ascii="宋体" w:hAnsi="宋体"/>
          <w:color w:val="auto"/>
          <w:szCs w:val="21"/>
          <w:lang w:val="en-GB"/>
        </w:rPr>
        <w:t>2.此表内容必须与实施方案中所介绍的内容一致。</w:t>
      </w:r>
    </w:p>
    <w:p>
      <w:pPr>
        <w:ind w:firstLine="630" w:firstLineChars="300"/>
        <w:rPr>
          <w:rFonts w:ascii="宋体" w:hAnsi="宋体"/>
          <w:color w:val="auto"/>
          <w:szCs w:val="21"/>
          <w:lang w:val="en-GB"/>
        </w:rPr>
      </w:pPr>
      <w:r>
        <w:rPr>
          <w:rFonts w:hint="eastAsia" w:ascii="宋体" w:hAnsi="宋体"/>
          <w:color w:val="auto"/>
          <w:szCs w:val="21"/>
          <w:lang w:val="en-GB"/>
        </w:rPr>
        <w:t>3.本表内容不得擅自修改。</w:t>
      </w:r>
    </w:p>
    <w:p>
      <w:pPr>
        <w:adjustRightInd w:val="0"/>
        <w:snapToGrid w:val="0"/>
        <w:spacing w:line="300" w:lineRule="auto"/>
        <w:rPr>
          <w:rFonts w:ascii="宋体" w:hAnsi="宋体"/>
          <w:color w:val="auto"/>
          <w:szCs w:val="21"/>
        </w:rPr>
      </w:pPr>
    </w:p>
    <w:p>
      <w:pPr>
        <w:adjustRightInd w:val="0"/>
        <w:snapToGrid w:val="0"/>
        <w:spacing w:line="300" w:lineRule="auto"/>
        <w:rPr>
          <w:rFonts w:ascii="宋体" w:hAnsi="宋体"/>
          <w:color w:val="auto"/>
          <w:szCs w:val="21"/>
        </w:rPr>
      </w:pPr>
      <w:r>
        <w:rPr>
          <w:rFonts w:hint="eastAsia" w:ascii="宋体" w:hAnsi="宋体"/>
          <w:color w:val="auto"/>
          <w:szCs w:val="21"/>
        </w:rPr>
        <w:t>报价人/响应供应商法定代表人（或法定代表人授权代表）签字：</w:t>
      </w:r>
      <w:r>
        <w:rPr>
          <w:rFonts w:hint="eastAsia" w:ascii="宋体" w:hAnsi="宋体"/>
          <w:color w:val="auto"/>
          <w:szCs w:val="21"/>
          <w:u w:val="single"/>
        </w:rPr>
        <w:t xml:space="preserve">                   </w:t>
      </w:r>
    </w:p>
    <w:p>
      <w:pPr>
        <w:adjustRightInd w:val="0"/>
        <w:snapToGrid w:val="0"/>
        <w:spacing w:line="300" w:lineRule="auto"/>
        <w:rPr>
          <w:rFonts w:ascii="宋体" w:hAnsi="宋体"/>
          <w:color w:val="auto"/>
          <w:szCs w:val="21"/>
          <w:u w:val="single"/>
        </w:rPr>
      </w:pPr>
      <w:r>
        <w:rPr>
          <w:rFonts w:hint="eastAsia" w:ascii="宋体" w:hAnsi="宋体"/>
          <w:color w:val="auto"/>
          <w:szCs w:val="21"/>
        </w:rPr>
        <w:t>报价人/响应供应商名称（签章）：</w:t>
      </w:r>
      <w:r>
        <w:rPr>
          <w:rFonts w:hint="eastAsia" w:ascii="宋体" w:hAnsi="宋体"/>
          <w:color w:val="auto"/>
          <w:szCs w:val="21"/>
          <w:u w:val="single"/>
        </w:rPr>
        <w:t xml:space="preserve">                        </w:t>
      </w:r>
    </w:p>
    <w:p>
      <w:pPr>
        <w:adjustRightInd w:val="0"/>
        <w:snapToGrid w:val="0"/>
        <w:spacing w:line="300" w:lineRule="auto"/>
        <w:rPr>
          <w:rFonts w:ascii="宋体" w:hAnsi="宋体"/>
          <w:color w:val="auto"/>
          <w:szCs w:val="21"/>
        </w:rPr>
      </w:pPr>
      <w:r>
        <w:rPr>
          <w:rFonts w:hint="eastAsia" w:ascii="宋体" w:hAnsi="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 xml:space="preserve"> 月</w:t>
      </w:r>
      <w:r>
        <w:rPr>
          <w:rFonts w:hint="eastAsia" w:ascii="宋体" w:hAnsi="宋体"/>
          <w:color w:val="auto"/>
          <w:szCs w:val="21"/>
          <w:u w:val="single"/>
        </w:rPr>
        <w:t xml:space="preserve">    </w:t>
      </w:r>
      <w:r>
        <w:rPr>
          <w:rFonts w:hint="eastAsia" w:ascii="宋体" w:hAnsi="宋体"/>
          <w:color w:val="auto"/>
          <w:szCs w:val="21"/>
        </w:rPr>
        <w:t xml:space="preserve"> 日</w:t>
      </w:r>
    </w:p>
    <w:p>
      <w:pPr>
        <w:pStyle w:val="2"/>
        <w:spacing w:line="480" w:lineRule="exact"/>
        <w:rPr>
          <w:color w:val="auto"/>
        </w:rPr>
      </w:pPr>
      <w:r>
        <w:rPr>
          <w:color w:val="auto"/>
        </w:rPr>
        <w:br w:type="page"/>
      </w:r>
    </w:p>
    <w:p>
      <w:pPr>
        <w:spacing w:line="480" w:lineRule="exact"/>
        <w:jc w:val="center"/>
        <w:rPr>
          <w:rFonts w:hint="eastAsia" w:ascii="宋体" w:hAnsi="宋体"/>
          <w:b/>
          <w:color w:val="auto"/>
          <w:sz w:val="32"/>
        </w:rPr>
      </w:pPr>
      <w:r>
        <w:rPr>
          <w:rFonts w:hint="eastAsia" w:ascii="宋体" w:hAnsi="宋体"/>
          <w:b/>
          <w:color w:val="auto"/>
          <w:sz w:val="32"/>
        </w:rPr>
        <w:t>合同条款响应表</w:t>
      </w:r>
    </w:p>
    <w:p>
      <w:pPr>
        <w:spacing w:line="480" w:lineRule="exact"/>
        <w:rPr>
          <w:rFonts w:hint="eastAsia" w:ascii="宋体" w:hAnsi="宋体"/>
          <w:color w:val="auto"/>
        </w:rPr>
      </w:pPr>
      <w:r>
        <w:rPr>
          <w:rFonts w:hint="eastAsia" w:ascii="宋体" w:hAnsi="宋体"/>
          <w:b/>
          <w:color w:val="auto"/>
        </w:rPr>
        <w:t>[说明]</w:t>
      </w:r>
      <w:r>
        <w:rPr>
          <w:rFonts w:hint="eastAsia" w:ascii="宋体" w:hAnsi="宋体"/>
          <w:color w:val="auto"/>
          <w:lang w:eastAsia="zh-CN"/>
        </w:rPr>
        <w:t>报价人</w:t>
      </w:r>
      <w:r>
        <w:rPr>
          <w:rFonts w:hint="eastAsia" w:ascii="宋体" w:hAnsi="宋体"/>
          <w:color w:val="auto"/>
        </w:rPr>
        <w:t>应对照招标文件第四部分《合同书》所列合同条款的内容一一响应，完全满足的在“具体内容”栏中填“响应”，有差异的则在“具体内容”栏中写明具体内容。</w:t>
      </w:r>
    </w:p>
    <w:tbl>
      <w:tblPr>
        <w:tblStyle w:val="30"/>
        <w:tblW w:w="9270" w:type="dxa"/>
        <w:tblInd w:w="0" w:type="dxa"/>
        <w:tblLayout w:type="fixed"/>
        <w:tblCellMar>
          <w:top w:w="0" w:type="dxa"/>
          <w:left w:w="30" w:type="dxa"/>
          <w:bottom w:w="0" w:type="dxa"/>
          <w:right w:w="30" w:type="dxa"/>
        </w:tblCellMar>
      </w:tblPr>
      <w:tblGrid>
        <w:gridCol w:w="1080"/>
        <w:gridCol w:w="950"/>
        <w:gridCol w:w="2830"/>
        <w:gridCol w:w="945"/>
        <w:gridCol w:w="3465"/>
      </w:tblGrid>
      <w:tr>
        <w:tblPrEx>
          <w:tblLayout w:type="fixed"/>
          <w:tblCellMar>
            <w:top w:w="0" w:type="dxa"/>
            <w:left w:w="30" w:type="dxa"/>
            <w:bottom w:w="0" w:type="dxa"/>
            <w:right w:w="30" w:type="dxa"/>
          </w:tblCellMar>
        </w:tblPrEx>
        <w:trPr>
          <w:cantSplit/>
          <w:trHeight w:val="584" w:hRule="atLeast"/>
        </w:trPr>
        <w:tc>
          <w:tcPr>
            <w:tcW w:w="1080" w:type="dxa"/>
            <w:vMerge w:val="restart"/>
            <w:tcBorders>
              <w:top w:val="single" w:color="auto" w:sz="12" w:space="0"/>
              <w:left w:val="single" w:color="auto" w:sz="12" w:space="0"/>
              <w:right w:val="single" w:color="auto" w:sz="6" w:space="0"/>
            </w:tcBorders>
            <w:vAlign w:val="center"/>
          </w:tcPr>
          <w:p>
            <w:pPr>
              <w:autoSpaceDE w:val="0"/>
              <w:autoSpaceDN w:val="0"/>
              <w:adjustRightInd w:val="0"/>
              <w:spacing w:line="480" w:lineRule="exact"/>
              <w:jc w:val="center"/>
              <w:rPr>
                <w:rFonts w:ascii="宋体" w:hAnsi="宋体"/>
                <w:color w:val="auto"/>
              </w:rPr>
            </w:pPr>
            <w:r>
              <w:rPr>
                <w:rFonts w:hint="eastAsia" w:ascii="宋体" w:hAnsi="宋体"/>
                <w:color w:val="auto"/>
              </w:rPr>
              <w:t>序号</w:t>
            </w:r>
          </w:p>
        </w:tc>
        <w:tc>
          <w:tcPr>
            <w:tcW w:w="3780" w:type="dxa"/>
            <w:gridSpan w:val="2"/>
            <w:tcBorders>
              <w:top w:val="single" w:color="auto" w:sz="12" w:space="0"/>
              <w:left w:val="single" w:color="auto" w:sz="6" w:space="0"/>
              <w:bottom w:val="single" w:color="auto" w:sz="4" w:space="0"/>
            </w:tcBorders>
            <w:vAlign w:val="center"/>
          </w:tcPr>
          <w:p>
            <w:pPr>
              <w:autoSpaceDE w:val="0"/>
              <w:autoSpaceDN w:val="0"/>
              <w:adjustRightInd w:val="0"/>
              <w:spacing w:line="480" w:lineRule="exact"/>
              <w:ind w:left="-2" w:leftChars="-1"/>
              <w:jc w:val="center"/>
              <w:rPr>
                <w:rFonts w:ascii="宋体" w:hAnsi="宋体"/>
                <w:color w:val="auto"/>
              </w:rPr>
            </w:pPr>
            <w:r>
              <w:rPr>
                <w:rFonts w:hint="eastAsia" w:ascii="宋体" w:hAnsi="宋体"/>
                <w:color w:val="auto"/>
              </w:rPr>
              <w:t>招标文件合同要求</w:t>
            </w:r>
          </w:p>
        </w:tc>
        <w:tc>
          <w:tcPr>
            <w:tcW w:w="4410" w:type="dxa"/>
            <w:gridSpan w:val="2"/>
            <w:tcBorders>
              <w:top w:val="single" w:color="auto" w:sz="12" w:space="0"/>
              <w:left w:val="single" w:color="auto" w:sz="6" w:space="0"/>
              <w:bottom w:val="single" w:color="auto" w:sz="6" w:space="0"/>
              <w:right w:val="single" w:color="auto" w:sz="12" w:space="0"/>
            </w:tcBorders>
            <w:vAlign w:val="center"/>
          </w:tcPr>
          <w:p>
            <w:pPr>
              <w:autoSpaceDE w:val="0"/>
              <w:autoSpaceDN w:val="0"/>
              <w:adjustRightInd w:val="0"/>
              <w:spacing w:line="480" w:lineRule="exact"/>
              <w:jc w:val="center"/>
              <w:rPr>
                <w:rFonts w:ascii="宋体" w:hAnsi="宋体"/>
                <w:color w:val="auto"/>
              </w:rPr>
            </w:pPr>
            <w:r>
              <w:rPr>
                <w:rFonts w:hint="eastAsia" w:ascii="宋体" w:hAnsi="宋体"/>
                <w:color w:val="auto"/>
              </w:rPr>
              <w:t>投标文件内容</w:t>
            </w:r>
          </w:p>
        </w:tc>
      </w:tr>
      <w:tr>
        <w:tblPrEx>
          <w:tblLayout w:type="fixed"/>
          <w:tblCellMar>
            <w:top w:w="0" w:type="dxa"/>
            <w:left w:w="30" w:type="dxa"/>
            <w:bottom w:w="0" w:type="dxa"/>
            <w:right w:w="30" w:type="dxa"/>
          </w:tblCellMar>
        </w:tblPrEx>
        <w:trPr>
          <w:cantSplit/>
          <w:trHeight w:val="607" w:hRule="atLeast"/>
        </w:trPr>
        <w:tc>
          <w:tcPr>
            <w:tcW w:w="1080" w:type="dxa"/>
            <w:vMerge w:val="continue"/>
            <w:tcBorders>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50"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ascii="宋体" w:hAnsi="宋体"/>
                <w:color w:val="auto"/>
              </w:rPr>
            </w:pPr>
            <w:r>
              <w:rPr>
                <w:rFonts w:hint="eastAsia" w:ascii="宋体" w:hAnsi="宋体"/>
                <w:color w:val="auto"/>
              </w:rPr>
              <w:t>条目</w:t>
            </w:r>
          </w:p>
        </w:tc>
        <w:tc>
          <w:tcPr>
            <w:tcW w:w="2830"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rPr>
            </w:pPr>
            <w:r>
              <w:rPr>
                <w:rFonts w:hint="eastAsia" w:ascii="宋体" w:hAnsi="宋体"/>
                <w:color w:val="auto"/>
              </w:rPr>
              <w:t>简要内容</w:t>
            </w:r>
          </w:p>
        </w:tc>
        <w:tc>
          <w:tcPr>
            <w:tcW w:w="945"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color w:val="auto"/>
              </w:rPr>
            </w:pPr>
            <w:r>
              <w:rPr>
                <w:rFonts w:hint="eastAsia" w:ascii="宋体" w:hAnsi="宋体"/>
                <w:color w:val="auto"/>
              </w:rPr>
              <w:t>条目</w:t>
            </w:r>
          </w:p>
        </w:tc>
        <w:tc>
          <w:tcPr>
            <w:tcW w:w="3465" w:type="dxa"/>
            <w:tcBorders>
              <w:top w:val="single" w:color="auto" w:sz="6" w:space="0"/>
              <w:left w:val="single" w:color="auto" w:sz="6" w:space="0"/>
              <w:bottom w:val="single" w:color="auto" w:sz="6" w:space="0"/>
              <w:right w:val="single" w:color="auto" w:sz="12" w:space="0"/>
            </w:tcBorders>
            <w:vAlign w:val="center"/>
          </w:tcPr>
          <w:p>
            <w:pPr>
              <w:autoSpaceDE w:val="0"/>
              <w:autoSpaceDN w:val="0"/>
              <w:adjustRightInd w:val="0"/>
              <w:spacing w:line="480" w:lineRule="exact"/>
              <w:jc w:val="center"/>
              <w:rPr>
                <w:rFonts w:ascii="宋体" w:hAnsi="宋体"/>
                <w:color w:val="auto"/>
              </w:rPr>
            </w:pPr>
            <w:r>
              <w:rPr>
                <w:rFonts w:hint="eastAsia" w:ascii="宋体" w:hAnsi="宋体"/>
                <w:color w:val="auto"/>
              </w:rPr>
              <w:t>具体内容</w:t>
            </w:r>
          </w:p>
        </w:tc>
      </w:tr>
      <w:tr>
        <w:tblPrEx>
          <w:tblLayout w:type="fixed"/>
          <w:tblCellMar>
            <w:top w:w="0" w:type="dxa"/>
            <w:left w:w="30" w:type="dxa"/>
            <w:bottom w:w="0" w:type="dxa"/>
            <w:right w:w="30" w:type="dxa"/>
          </w:tblCellMar>
        </w:tblPrEx>
        <w:trPr>
          <w:cantSplit/>
          <w:trHeight w:val="440" w:hRule="exact"/>
        </w:trPr>
        <w:tc>
          <w:tcPr>
            <w:tcW w:w="108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283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3465"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hAnsi="宋体"/>
                <w:color w:val="auto"/>
              </w:rPr>
            </w:pPr>
          </w:p>
        </w:tc>
      </w:tr>
      <w:tr>
        <w:tblPrEx>
          <w:tblLayout w:type="fixed"/>
          <w:tblCellMar>
            <w:top w:w="0" w:type="dxa"/>
            <w:left w:w="30" w:type="dxa"/>
            <w:bottom w:w="0" w:type="dxa"/>
            <w:right w:w="30" w:type="dxa"/>
          </w:tblCellMar>
        </w:tblPrEx>
        <w:trPr>
          <w:cantSplit/>
          <w:trHeight w:val="521" w:hRule="exact"/>
        </w:trPr>
        <w:tc>
          <w:tcPr>
            <w:tcW w:w="108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283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3465"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hAnsi="宋体"/>
                <w:color w:val="auto"/>
              </w:rPr>
            </w:pPr>
          </w:p>
        </w:tc>
      </w:tr>
      <w:tr>
        <w:tblPrEx>
          <w:tblLayout w:type="fixed"/>
          <w:tblCellMar>
            <w:top w:w="0" w:type="dxa"/>
            <w:left w:w="30" w:type="dxa"/>
            <w:bottom w:w="0" w:type="dxa"/>
            <w:right w:w="30" w:type="dxa"/>
          </w:tblCellMar>
        </w:tblPrEx>
        <w:trPr>
          <w:cantSplit/>
          <w:trHeight w:val="440" w:hRule="exact"/>
        </w:trPr>
        <w:tc>
          <w:tcPr>
            <w:tcW w:w="108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283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3465"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hAnsi="宋体"/>
                <w:color w:val="auto"/>
              </w:rPr>
            </w:pPr>
          </w:p>
        </w:tc>
      </w:tr>
      <w:tr>
        <w:tblPrEx>
          <w:tblLayout w:type="fixed"/>
          <w:tblCellMar>
            <w:top w:w="0" w:type="dxa"/>
            <w:left w:w="30" w:type="dxa"/>
            <w:bottom w:w="0" w:type="dxa"/>
            <w:right w:w="30" w:type="dxa"/>
          </w:tblCellMar>
        </w:tblPrEx>
        <w:trPr>
          <w:cantSplit/>
          <w:trHeight w:val="440" w:hRule="exact"/>
        </w:trPr>
        <w:tc>
          <w:tcPr>
            <w:tcW w:w="108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283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3465"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hAnsi="宋体"/>
                <w:color w:val="auto"/>
              </w:rPr>
            </w:pPr>
          </w:p>
        </w:tc>
      </w:tr>
      <w:tr>
        <w:tblPrEx>
          <w:tblLayout w:type="fixed"/>
          <w:tblCellMar>
            <w:top w:w="0" w:type="dxa"/>
            <w:left w:w="30" w:type="dxa"/>
            <w:bottom w:w="0" w:type="dxa"/>
            <w:right w:w="30" w:type="dxa"/>
          </w:tblCellMar>
        </w:tblPrEx>
        <w:trPr>
          <w:cantSplit/>
          <w:trHeight w:val="440" w:hRule="exact"/>
        </w:trPr>
        <w:tc>
          <w:tcPr>
            <w:tcW w:w="108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283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3465"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hAnsi="宋体"/>
                <w:color w:val="auto"/>
              </w:rPr>
            </w:pPr>
          </w:p>
        </w:tc>
      </w:tr>
      <w:tr>
        <w:tblPrEx>
          <w:tblLayout w:type="fixed"/>
          <w:tblCellMar>
            <w:top w:w="0" w:type="dxa"/>
            <w:left w:w="30" w:type="dxa"/>
            <w:bottom w:w="0" w:type="dxa"/>
            <w:right w:w="30" w:type="dxa"/>
          </w:tblCellMar>
        </w:tblPrEx>
        <w:trPr>
          <w:cantSplit/>
          <w:trHeight w:val="440" w:hRule="exact"/>
        </w:trPr>
        <w:tc>
          <w:tcPr>
            <w:tcW w:w="108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283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3465"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hAnsi="宋体"/>
                <w:color w:val="auto"/>
              </w:rPr>
            </w:pPr>
          </w:p>
        </w:tc>
      </w:tr>
      <w:tr>
        <w:tblPrEx>
          <w:tblLayout w:type="fixed"/>
          <w:tblCellMar>
            <w:top w:w="0" w:type="dxa"/>
            <w:left w:w="30" w:type="dxa"/>
            <w:bottom w:w="0" w:type="dxa"/>
            <w:right w:w="30" w:type="dxa"/>
          </w:tblCellMar>
        </w:tblPrEx>
        <w:trPr>
          <w:cantSplit/>
          <w:trHeight w:val="440" w:hRule="exact"/>
        </w:trPr>
        <w:tc>
          <w:tcPr>
            <w:tcW w:w="1080" w:type="dxa"/>
            <w:tcBorders>
              <w:top w:val="single" w:color="auto" w:sz="6" w:space="0"/>
              <w:left w:val="single" w:color="auto" w:sz="12"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5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2830"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45" w:type="dxa"/>
            <w:tcBorders>
              <w:top w:val="single" w:color="auto" w:sz="6" w:space="0"/>
              <w:left w:val="single" w:color="auto" w:sz="6" w:space="0"/>
              <w:bottom w:val="single" w:color="auto" w:sz="6"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3465" w:type="dxa"/>
            <w:tcBorders>
              <w:top w:val="single" w:color="auto" w:sz="6" w:space="0"/>
              <w:left w:val="single" w:color="auto" w:sz="6" w:space="0"/>
              <w:bottom w:val="single" w:color="auto" w:sz="6" w:space="0"/>
              <w:right w:val="single" w:color="auto" w:sz="12" w:space="0"/>
            </w:tcBorders>
            <w:vAlign w:val="top"/>
          </w:tcPr>
          <w:p>
            <w:pPr>
              <w:autoSpaceDE w:val="0"/>
              <w:autoSpaceDN w:val="0"/>
              <w:adjustRightInd w:val="0"/>
              <w:spacing w:line="480" w:lineRule="exact"/>
              <w:jc w:val="center"/>
              <w:rPr>
                <w:rFonts w:ascii="宋体" w:hAnsi="宋体"/>
                <w:color w:val="auto"/>
              </w:rPr>
            </w:pPr>
          </w:p>
        </w:tc>
      </w:tr>
      <w:tr>
        <w:tblPrEx>
          <w:tblLayout w:type="fixed"/>
          <w:tblCellMar>
            <w:top w:w="0" w:type="dxa"/>
            <w:left w:w="30" w:type="dxa"/>
            <w:bottom w:w="0" w:type="dxa"/>
            <w:right w:w="30" w:type="dxa"/>
          </w:tblCellMar>
        </w:tblPrEx>
        <w:trPr>
          <w:cantSplit/>
          <w:trHeight w:val="440" w:hRule="exact"/>
        </w:trPr>
        <w:tc>
          <w:tcPr>
            <w:tcW w:w="1080" w:type="dxa"/>
            <w:tcBorders>
              <w:top w:val="single" w:color="auto" w:sz="6" w:space="0"/>
              <w:left w:val="single" w:color="auto" w:sz="12" w:space="0"/>
              <w:bottom w:val="single" w:color="auto" w:sz="12"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50" w:type="dxa"/>
            <w:tcBorders>
              <w:top w:val="single" w:color="auto" w:sz="6" w:space="0"/>
              <w:left w:val="single" w:color="auto" w:sz="6" w:space="0"/>
              <w:bottom w:val="single" w:color="auto" w:sz="12"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2830" w:type="dxa"/>
            <w:tcBorders>
              <w:top w:val="single" w:color="auto" w:sz="6" w:space="0"/>
              <w:left w:val="single" w:color="auto" w:sz="6" w:space="0"/>
              <w:bottom w:val="single" w:color="auto" w:sz="12" w:space="0"/>
              <w:right w:val="single" w:color="auto" w:sz="6" w:space="0"/>
            </w:tcBorders>
            <w:vAlign w:val="top"/>
          </w:tcPr>
          <w:p>
            <w:pPr>
              <w:autoSpaceDE w:val="0"/>
              <w:autoSpaceDN w:val="0"/>
              <w:adjustRightInd w:val="0"/>
              <w:spacing w:line="480" w:lineRule="exact"/>
              <w:jc w:val="center"/>
              <w:rPr>
                <w:rFonts w:ascii="宋体" w:hAnsi="宋体"/>
                <w:color w:val="auto"/>
              </w:rPr>
            </w:pPr>
          </w:p>
        </w:tc>
        <w:tc>
          <w:tcPr>
            <w:tcW w:w="945" w:type="dxa"/>
            <w:tcBorders>
              <w:top w:val="single" w:color="auto" w:sz="6" w:space="0"/>
              <w:left w:val="single" w:color="auto" w:sz="6" w:space="0"/>
              <w:bottom w:val="single" w:color="auto" w:sz="12" w:space="0"/>
              <w:right w:val="single" w:color="auto" w:sz="6" w:space="0"/>
            </w:tcBorders>
            <w:vAlign w:val="top"/>
          </w:tcPr>
          <w:p>
            <w:pPr>
              <w:autoSpaceDE w:val="0"/>
              <w:autoSpaceDN w:val="0"/>
              <w:adjustRightInd w:val="0"/>
              <w:spacing w:line="480" w:lineRule="exact"/>
              <w:jc w:val="center"/>
              <w:outlineLvl w:val="0"/>
              <w:rPr>
                <w:rFonts w:ascii="宋体" w:hAnsi="宋体"/>
                <w:color w:val="auto"/>
              </w:rPr>
            </w:pPr>
          </w:p>
        </w:tc>
        <w:tc>
          <w:tcPr>
            <w:tcW w:w="3465" w:type="dxa"/>
            <w:tcBorders>
              <w:top w:val="single" w:color="auto" w:sz="6" w:space="0"/>
              <w:left w:val="single" w:color="auto" w:sz="6" w:space="0"/>
              <w:bottom w:val="single" w:color="auto" w:sz="12" w:space="0"/>
              <w:right w:val="single" w:color="auto" w:sz="12" w:space="0"/>
            </w:tcBorders>
            <w:vAlign w:val="top"/>
          </w:tcPr>
          <w:p>
            <w:pPr>
              <w:autoSpaceDE w:val="0"/>
              <w:autoSpaceDN w:val="0"/>
              <w:adjustRightInd w:val="0"/>
              <w:spacing w:line="480" w:lineRule="exact"/>
              <w:jc w:val="center"/>
              <w:rPr>
                <w:rFonts w:ascii="宋体" w:hAnsi="宋体"/>
                <w:color w:val="auto"/>
              </w:rPr>
            </w:pPr>
          </w:p>
        </w:tc>
      </w:tr>
    </w:tbl>
    <w:p>
      <w:pPr>
        <w:spacing w:line="480" w:lineRule="exact"/>
        <w:rPr>
          <w:rFonts w:hint="eastAsia" w:ascii="宋体" w:hAnsi="宋体"/>
          <w:color w:val="auto"/>
        </w:rPr>
      </w:pPr>
      <w:r>
        <w:rPr>
          <w:rFonts w:hint="eastAsia" w:ascii="宋体" w:hAnsi="宋体"/>
          <w:color w:val="auto"/>
        </w:rPr>
        <w:t>[说明]</w:t>
      </w:r>
    </w:p>
    <w:p>
      <w:pPr>
        <w:spacing w:line="480" w:lineRule="exact"/>
        <w:ind w:left="515" w:hanging="515"/>
        <w:rPr>
          <w:rFonts w:hint="eastAsia" w:ascii="宋体" w:hAnsi="宋体"/>
          <w:color w:val="auto"/>
        </w:rPr>
      </w:pPr>
      <w:r>
        <w:rPr>
          <w:rFonts w:hint="eastAsia" w:ascii="宋体" w:hAnsi="宋体"/>
          <w:color w:val="auto"/>
        </w:rPr>
        <w:t>1.   除“具体内容”栏所列的内容以外，按《合同书》中的条款执行。</w:t>
      </w:r>
    </w:p>
    <w:p>
      <w:pPr>
        <w:spacing w:line="480" w:lineRule="exact"/>
        <w:rPr>
          <w:rFonts w:hint="eastAsia" w:ascii="宋体" w:hAnsi="宋体"/>
          <w:color w:val="auto"/>
        </w:rPr>
      </w:pPr>
      <w:r>
        <w:rPr>
          <w:rFonts w:hint="eastAsia" w:ascii="宋体" w:hAnsi="宋体"/>
          <w:color w:val="auto"/>
        </w:rPr>
        <w:t>2.   对可以有差异的，其内容的确定，在签定合同时，由买卖双方协商。</w:t>
      </w:r>
    </w:p>
    <w:p>
      <w:pPr>
        <w:spacing w:line="480" w:lineRule="exact"/>
        <w:rPr>
          <w:rFonts w:ascii="宋体" w:hAnsi="宋体"/>
          <w:color w:val="auto"/>
        </w:rPr>
      </w:pPr>
    </w:p>
    <w:p>
      <w:pPr>
        <w:spacing w:line="480" w:lineRule="exact"/>
        <w:rPr>
          <w:rFonts w:hint="eastAsia" w:ascii="宋体" w:hAnsi="宋体"/>
          <w:color w:val="auto"/>
        </w:rPr>
      </w:pPr>
      <w:r>
        <w:rPr>
          <w:rFonts w:ascii="宋体" w:hAnsi="宋体"/>
          <w:color w:val="auto"/>
        </w:rPr>
        <w:t xml:space="preserve">                             </w:t>
      </w:r>
      <w:r>
        <w:rPr>
          <w:rFonts w:hint="eastAsia" w:ascii="宋体" w:hAnsi="宋体"/>
          <w:color w:val="auto"/>
          <w:lang w:val="en-US" w:eastAsia="zh-CN"/>
        </w:rPr>
        <w:t xml:space="preserve">                             </w:t>
      </w:r>
      <w:r>
        <w:rPr>
          <w:rFonts w:hint="eastAsia" w:ascii="宋体" w:hAnsi="宋体"/>
          <w:color w:val="auto"/>
          <w:lang w:eastAsia="zh-CN"/>
        </w:rPr>
        <w:t>报价人</w:t>
      </w:r>
      <w:r>
        <w:rPr>
          <w:rFonts w:hint="eastAsia" w:ascii="宋体" w:hAnsi="宋体"/>
          <w:color w:val="auto"/>
        </w:rPr>
        <w:t>（公章）：</w:t>
      </w:r>
    </w:p>
    <w:p>
      <w:pPr>
        <w:spacing w:line="480" w:lineRule="exact"/>
        <w:rPr>
          <w:rFonts w:hint="eastAsia" w:ascii="宋体" w:hAnsi="宋体"/>
          <w:color w:val="auto"/>
        </w:rPr>
      </w:pPr>
      <w:r>
        <w:rPr>
          <w:rFonts w:hint="eastAsia" w:ascii="宋体" w:hAnsi="宋体"/>
          <w:color w:val="auto"/>
        </w:rPr>
        <w:t xml:space="preserve">                            </w:t>
      </w:r>
      <w:r>
        <w:rPr>
          <w:rFonts w:hint="eastAsia" w:ascii="宋体" w:hAnsi="宋体"/>
          <w:color w:val="auto"/>
          <w:lang w:val="en-US" w:eastAsia="zh-CN"/>
        </w:rPr>
        <w:t xml:space="preserve">                             </w:t>
      </w:r>
      <w:r>
        <w:rPr>
          <w:rFonts w:hint="eastAsia" w:ascii="宋体" w:hAnsi="宋体"/>
          <w:color w:val="auto"/>
        </w:rPr>
        <w:t xml:space="preserve"> 授权代表（签字或盖章：</w:t>
      </w:r>
    </w:p>
    <w:p>
      <w:pPr>
        <w:spacing w:line="480" w:lineRule="exact"/>
        <w:rPr>
          <w:b/>
          <w:bCs/>
          <w:color w:val="auto"/>
          <w:sz w:val="32"/>
          <w:szCs w:val="32"/>
        </w:rPr>
      </w:pPr>
      <w:r>
        <w:rPr>
          <w:rFonts w:hint="eastAsia" w:ascii="宋体" w:hAnsi="宋体"/>
          <w:color w:val="auto"/>
        </w:rPr>
        <w:t xml:space="preserve">         </w:t>
      </w:r>
      <w:r>
        <w:rPr>
          <w:rFonts w:hint="eastAsia" w:ascii="宋体" w:hAnsi="宋体"/>
          <w:color w:val="auto"/>
          <w:lang w:val="en-US" w:eastAsia="zh-CN"/>
        </w:rPr>
        <w:t xml:space="preserve">                                                 </w:t>
      </w:r>
      <w:r>
        <w:rPr>
          <w:rFonts w:hint="eastAsia" w:ascii="宋体" w:hAnsi="宋体" w:eastAsia="宋体" w:cs="Times New Roman"/>
          <w:b w:val="0"/>
          <w:bCs w:val="0"/>
          <w:color w:val="auto"/>
          <w:kern w:val="0"/>
          <w:sz w:val="21"/>
          <w:szCs w:val="20"/>
          <w:lang w:val="en-US" w:eastAsia="zh-CN" w:bidi="ar-SA"/>
        </w:rPr>
        <w:t>日        期：</w:t>
      </w:r>
      <w:r>
        <w:rPr>
          <w:rFonts w:ascii="宋体" w:hAnsi="宋体" w:eastAsia="宋体" w:cs="Times New Roman"/>
          <w:b w:val="0"/>
          <w:bCs w:val="0"/>
          <w:color w:val="auto"/>
          <w:kern w:val="0"/>
          <w:sz w:val="21"/>
          <w:szCs w:val="20"/>
          <w:lang w:val="en-US" w:eastAsia="zh-CN" w:bidi="ar-SA"/>
        </w:rPr>
        <w:br w:type="page"/>
      </w:r>
      <w:bookmarkStart w:id="29" w:name="_Hlt10456523"/>
      <w:bookmarkEnd w:id="29"/>
      <w:bookmarkStart w:id="30" w:name="_Toc42951057"/>
      <w:r>
        <w:rPr>
          <w:rFonts w:hint="eastAsia"/>
          <w:b/>
          <w:bCs/>
          <w:color w:val="auto"/>
          <w:sz w:val="32"/>
          <w:szCs w:val="32"/>
          <w:lang w:val="en-US" w:eastAsia="zh-CN"/>
        </w:rPr>
        <w:t>7</w:t>
      </w:r>
      <w:r>
        <w:rPr>
          <w:rFonts w:hint="eastAsia"/>
          <w:b/>
          <w:bCs/>
          <w:color w:val="auto"/>
          <w:sz w:val="32"/>
          <w:szCs w:val="32"/>
        </w:rPr>
        <w:t>．服务费承诺书格式</w:t>
      </w:r>
      <w:bookmarkEnd w:id="30"/>
    </w:p>
    <w:p>
      <w:pPr>
        <w:spacing w:line="480" w:lineRule="exact"/>
        <w:jc w:val="center"/>
        <w:rPr>
          <w:rFonts w:ascii="宋体"/>
          <w:b/>
          <w:color w:val="auto"/>
          <w:sz w:val="32"/>
          <w:szCs w:val="32"/>
        </w:rPr>
      </w:pPr>
      <w:r>
        <w:rPr>
          <w:rFonts w:hint="eastAsia" w:ascii="宋体"/>
          <w:b/>
          <w:color w:val="auto"/>
          <w:sz w:val="32"/>
          <w:szCs w:val="32"/>
        </w:rPr>
        <w:t>成交服务费承诺书</w:t>
      </w:r>
    </w:p>
    <w:p>
      <w:pPr>
        <w:spacing w:line="480" w:lineRule="exact"/>
        <w:rPr>
          <w:rFonts w:ascii="宋体"/>
          <w:color w:val="auto"/>
          <w:sz w:val="24"/>
        </w:rPr>
      </w:pPr>
    </w:p>
    <w:p>
      <w:pPr>
        <w:spacing w:line="480" w:lineRule="exact"/>
        <w:jc w:val="right"/>
        <w:rPr>
          <w:rFonts w:ascii="宋体"/>
          <w:color w:val="auto"/>
          <w:u w:val="single"/>
        </w:rPr>
      </w:pPr>
      <w:r>
        <w:rPr>
          <w:rFonts w:hint="eastAsia" w:ascii="宋体"/>
          <w:color w:val="auto"/>
        </w:rPr>
        <w:t>承诺书号：</w:t>
      </w:r>
      <w:r>
        <w:rPr>
          <w:rFonts w:hint="eastAsia" w:ascii="宋体" w:hAnsi="宋体"/>
          <w:color w:val="auto"/>
          <w:lang w:eastAsia="zh-CN"/>
        </w:rPr>
        <w:t>GDXJ18FCS1005</w:t>
      </w:r>
      <w:r>
        <w:rPr>
          <w:rFonts w:hint="eastAsia" w:ascii="宋体"/>
          <w:color w:val="auto"/>
          <w:u w:val="single"/>
        </w:rPr>
        <w:t xml:space="preserve">                </w:t>
      </w:r>
    </w:p>
    <w:p>
      <w:pPr>
        <w:spacing w:line="480" w:lineRule="exact"/>
        <w:rPr>
          <w:rFonts w:ascii="宋体"/>
          <w:b/>
          <w:color w:val="auto"/>
          <w:sz w:val="24"/>
        </w:rPr>
      </w:pPr>
      <w:r>
        <w:rPr>
          <w:rFonts w:hint="eastAsia" w:ascii="宋体"/>
          <w:b/>
          <w:color w:val="auto"/>
          <w:sz w:val="24"/>
        </w:rPr>
        <w:t>致：广东晓君招标采购代理有限公司</w:t>
      </w:r>
    </w:p>
    <w:p>
      <w:pPr>
        <w:spacing w:line="480" w:lineRule="exact"/>
        <w:rPr>
          <w:rFonts w:ascii="宋体"/>
          <w:color w:val="auto"/>
          <w:sz w:val="24"/>
        </w:rPr>
      </w:pPr>
    </w:p>
    <w:p>
      <w:pPr>
        <w:spacing w:line="480" w:lineRule="exact"/>
        <w:jc w:val="both"/>
        <w:rPr>
          <w:rFonts w:ascii="宋体"/>
          <w:color w:val="auto"/>
        </w:rPr>
      </w:pPr>
      <w:r>
        <w:rPr>
          <w:rFonts w:hint="eastAsia" w:ascii="宋体"/>
          <w:color w:val="auto"/>
        </w:rPr>
        <w:t xml:space="preserve">    如果我方在贵公司组织的</w:t>
      </w:r>
      <w:r>
        <w:rPr>
          <w:rFonts w:ascii="宋体" w:hAnsi="宋体"/>
          <w:color w:val="auto"/>
          <w:kern w:val="28"/>
          <w:u w:val="single"/>
        </w:rPr>
        <w:t xml:space="preserve">  </w:t>
      </w:r>
      <w:r>
        <w:rPr>
          <w:rFonts w:hint="eastAsia" w:ascii="宋体" w:hAnsi="宋体"/>
          <w:color w:val="auto"/>
          <w:kern w:val="28"/>
          <w:u w:val="single"/>
        </w:rPr>
        <w:t xml:space="preserve">（项目名称）    </w:t>
      </w:r>
      <w:r>
        <w:rPr>
          <w:rFonts w:ascii="宋体" w:hAnsi="宋体"/>
          <w:color w:val="auto"/>
          <w:kern w:val="28"/>
          <w:u w:val="single"/>
        </w:rPr>
        <w:t xml:space="preserve">  </w:t>
      </w:r>
      <w:r>
        <w:rPr>
          <w:rFonts w:hint="eastAsia" w:ascii="宋体"/>
          <w:color w:val="auto"/>
        </w:rPr>
        <w:t>的货物及相关服务磋商中获成交（采购编号：       ），我方保证在收到《成交通知书》后，按磋商文件规定“报价人须知”向贵公司交纳成交服务费。</w:t>
      </w:r>
    </w:p>
    <w:p>
      <w:pPr>
        <w:spacing w:line="480" w:lineRule="exact"/>
        <w:rPr>
          <w:rFonts w:ascii="宋体"/>
          <w:color w:val="auto"/>
        </w:rPr>
      </w:pPr>
    </w:p>
    <w:p>
      <w:pPr>
        <w:spacing w:line="480" w:lineRule="exact"/>
        <w:jc w:val="both"/>
        <w:rPr>
          <w:rFonts w:ascii="宋体"/>
          <w:color w:val="auto"/>
        </w:rPr>
      </w:pPr>
      <w:r>
        <w:rPr>
          <w:rFonts w:hint="eastAsia" w:ascii="宋体"/>
          <w:color w:val="auto"/>
        </w:rPr>
        <w:t xml:space="preserve">    我方如违约，愿凭贵公司开出的违约通知，按上述承诺金额的200％在我方提交的报价保证金（保函）及买方给我方的成交合同规定的货款中扣付，并在此同意和要求报价保函开立银行及买方（应</w:t>
      </w:r>
      <w:r>
        <w:rPr>
          <w:rFonts w:hint="eastAsia" w:ascii="宋体"/>
          <w:b/>
          <w:color w:val="auto"/>
        </w:rPr>
        <w:t>广东晓君招标采购代理有限公司</w:t>
      </w:r>
      <w:r>
        <w:rPr>
          <w:rFonts w:hint="eastAsia" w:ascii="宋体"/>
          <w:color w:val="auto"/>
        </w:rPr>
        <w:t>的要求）办理支付手续。</w:t>
      </w:r>
    </w:p>
    <w:p>
      <w:pPr>
        <w:spacing w:line="480" w:lineRule="exact"/>
        <w:jc w:val="both"/>
        <w:rPr>
          <w:rFonts w:ascii="宋体"/>
          <w:color w:val="auto"/>
        </w:rPr>
      </w:pPr>
    </w:p>
    <w:p>
      <w:pPr>
        <w:spacing w:line="480" w:lineRule="exact"/>
        <w:rPr>
          <w:rFonts w:ascii="宋体"/>
          <w:color w:val="auto"/>
        </w:rPr>
      </w:pPr>
      <w:r>
        <w:rPr>
          <w:rFonts w:hint="eastAsia" w:ascii="宋体"/>
          <w:color w:val="auto"/>
        </w:rPr>
        <w:t xml:space="preserve">    特此承诺！</w:t>
      </w:r>
    </w:p>
    <w:p>
      <w:pPr>
        <w:spacing w:line="480" w:lineRule="exact"/>
        <w:ind w:left="4700" w:leftChars="2238"/>
        <w:rPr>
          <w:rFonts w:ascii="宋体"/>
          <w:color w:val="auto"/>
        </w:rPr>
      </w:pPr>
      <w:r>
        <w:rPr>
          <w:rFonts w:hint="eastAsia" w:ascii="宋体"/>
          <w:color w:val="auto"/>
        </w:rPr>
        <w:t>报价人法定名称（公章）；</w:t>
      </w:r>
    </w:p>
    <w:p>
      <w:pPr>
        <w:spacing w:line="480" w:lineRule="exact"/>
        <w:ind w:left="4700" w:leftChars="2238"/>
        <w:rPr>
          <w:rFonts w:ascii="宋体"/>
          <w:color w:val="auto"/>
        </w:rPr>
      </w:pPr>
      <w:r>
        <w:rPr>
          <w:rFonts w:hint="eastAsia" w:ascii="宋体"/>
          <w:color w:val="auto"/>
        </w:rPr>
        <w:t>报价人法定地址：</w:t>
      </w:r>
    </w:p>
    <w:p>
      <w:pPr>
        <w:spacing w:line="480" w:lineRule="exact"/>
        <w:ind w:left="4700" w:leftChars="2238"/>
        <w:rPr>
          <w:rFonts w:ascii="宋体"/>
          <w:color w:val="auto"/>
        </w:rPr>
      </w:pPr>
      <w:r>
        <w:rPr>
          <w:rFonts w:hint="eastAsia" w:ascii="宋体"/>
          <w:color w:val="auto"/>
        </w:rPr>
        <w:t>报价人授权代表（签字）：</w:t>
      </w:r>
    </w:p>
    <w:p>
      <w:pPr>
        <w:spacing w:line="480" w:lineRule="exact"/>
        <w:ind w:left="4700" w:leftChars="2238"/>
        <w:rPr>
          <w:rFonts w:ascii="宋体"/>
          <w:color w:val="auto"/>
        </w:rPr>
      </w:pPr>
      <w:r>
        <w:rPr>
          <w:rFonts w:hint="eastAsia" w:ascii="宋体"/>
          <w:color w:val="auto"/>
        </w:rPr>
        <w:t>电    话：</w:t>
      </w:r>
    </w:p>
    <w:p>
      <w:pPr>
        <w:spacing w:line="480" w:lineRule="exact"/>
        <w:ind w:left="4700" w:leftChars="2238"/>
        <w:rPr>
          <w:rFonts w:ascii="宋体"/>
          <w:color w:val="auto"/>
        </w:rPr>
      </w:pPr>
      <w:r>
        <w:rPr>
          <w:rFonts w:hint="eastAsia" w:ascii="宋体"/>
          <w:color w:val="auto"/>
        </w:rPr>
        <w:t>传    真：</w:t>
      </w:r>
    </w:p>
    <w:p>
      <w:pPr>
        <w:spacing w:line="480" w:lineRule="exact"/>
        <w:ind w:left="4700" w:leftChars="2238"/>
        <w:rPr>
          <w:rFonts w:ascii="宋体"/>
          <w:color w:val="auto"/>
        </w:rPr>
      </w:pPr>
      <w:r>
        <w:rPr>
          <w:rFonts w:hint="eastAsia" w:ascii="宋体"/>
          <w:color w:val="auto"/>
        </w:rPr>
        <w:t>承诺日期：</w:t>
      </w:r>
    </w:p>
    <w:p>
      <w:pPr>
        <w:pStyle w:val="2"/>
        <w:spacing w:line="480" w:lineRule="exact"/>
        <w:rPr>
          <w:color w:val="auto"/>
          <w:sz w:val="32"/>
          <w:szCs w:val="32"/>
        </w:rPr>
      </w:pPr>
      <w:r>
        <w:rPr>
          <w:color w:val="auto"/>
        </w:rPr>
        <w:br w:type="page"/>
      </w:r>
      <w:bookmarkStart w:id="31" w:name="_Hlt10520032"/>
      <w:bookmarkEnd w:id="31"/>
      <w:bookmarkStart w:id="32" w:name="_Hlt10520073"/>
      <w:bookmarkEnd w:id="32"/>
      <w:bookmarkStart w:id="33" w:name="_Toc42951058"/>
      <w:r>
        <w:rPr>
          <w:rFonts w:hint="eastAsia"/>
          <w:color w:val="auto"/>
          <w:sz w:val="32"/>
          <w:szCs w:val="32"/>
          <w:lang w:val="en-US" w:eastAsia="zh-CN"/>
        </w:rPr>
        <w:t>8</w:t>
      </w:r>
      <w:r>
        <w:rPr>
          <w:rFonts w:hint="eastAsia"/>
          <w:color w:val="auto"/>
          <w:sz w:val="32"/>
          <w:szCs w:val="32"/>
        </w:rPr>
        <w:t>．其它资料格式</w:t>
      </w:r>
      <w:bookmarkEnd w:id="33"/>
    </w:p>
    <w:p>
      <w:pPr>
        <w:spacing w:line="360" w:lineRule="auto"/>
        <w:ind w:firstLine="210" w:firstLineChars="100"/>
        <w:rPr>
          <w:rFonts w:ascii="宋体"/>
          <w:color w:val="auto"/>
        </w:rPr>
      </w:pPr>
      <w:r>
        <w:rPr>
          <w:rFonts w:hint="eastAsia" w:ascii="宋体"/>
          <w:color w:val="auto"/>
          <w:lang w:val="en-US" w:eastAsia="zh-CN"/>
        </w:rPr>
        <w:t>8</w:t>
      </w:r>
      <w:r>
        <w:rPr>
          <w:rFonts w:hint="eastAsia" w:ascii="宋体"/>
          <w:color w:val="auto"/>
        </w:rPr>
        <w:t>.1  报价人简介；</w:t>
      </w:r>
    </w:p>
    <w:p>
      <w:pPr>
        <w:spacing w:line="360" w:lineRule="auto"/>
        <w:ind w:firstLine="210" w:firstLineChars="100"/>
        <w:rPr>
          <w:rFonts w:ascii="宋体"/>
          <w:color w:val="auto"/>
        </w:rPr>
      </w:pPr>
      <w:r>
        <w:rPr>
          <w:rFonts w:hint="eastAsia" w:ascii="宋体"/>
          <w:color w:val="auto"/>
          <w:lang w:val="en-US" w:eastAsia="zh-CN"/>
        </w:rPr>
        <w:t>8</w:t>
      </w:r>
      <w:r>
        <w:rPr>
          <w:rFonts w:hint="eastAsia" w:ascii="宋体"/>
          <w:color w:val="auto"/>
        </w:rPr>
        <w:t xml:space="preserve">.2  </w:t>
      </w:r>
      <w:r>
        <w:rPr>
          <w:rFonts w:hint="eastAsia" w:ascii="宋体" w:hAnsi="宋体"/>
          <w:color w:val="auto"/>
        </w:rPr>
        <w:t>提供</w:t>
      </w:r>
      <w:r>
        <w:rPr>
          <w:rFonts w:hint="eastAsia" w:ascii="宋体" w:hAnsi="宋体"/>
          <w:color w:val="auto"/>
          <w:szCs w:val="21"/>
          <w:lang w:val="en-US" w:eastAsia="zh-CN"/>
        </w:rPr>
        <w:t>近二年完成的</w:t>
      </w:r>
      <w:r>
        <w:rPr>
          <w:rFonts w:hint="eastAsia" w:ascii="宋体" w:hAnsi="宋体"/>
          <w:color w:val="auto"/>
          <w:szCs w:val="21"/>
        </w:rPr>
        <w:t>同类项目业绩</w:t>
      </w:r>
    </w:p>
    <w:p>
      <w:pPr>
        <w:spacing w:line="360" w:lineRule="auto"/>
        <w:ind w:left="525" w:leftChars="100" w:hanging="315" w:hangingChars="150"/>
        <w:jc w:val="both"/>
        <w:rPr>
          <w:rFonts w:ascii="宋体" w:hAnsi="宋体"/>
          <w:color w:val="auto"/>
        </w:rPr>
      </w:pPr>
      <w:r>
        <w:rPr>
          <w:rFonts w:hint="eastAsia" w:ascii="宋体"/>
          <w:color w:val="auto"/>
          <w:lang w:val="en-US" w:eastAsia="zh-CN"/>
        </w:rPr>
        <w:t>8</w:t>
      </w:r>
      <w:r>
        <w:rPr>
          <w:rFonts w:ascii="宋体"/>
          <w:color w:val="auto"/>
        </w:rPr>
        <w:t>.</w:t>
      </w:r>
      <w:r>
        <w:rPr>
          <w:rFonts w:hint="eastAsia" w:ascii="宋体"/>
          <w:color w:val="auto"/>
        </w:rPr>
        <w:t xml:space="preserve">3 </w:t>
      </w:r>
      <w:r>
        <w:rPr>
          <w:rFonts w:hint="eastAsia" w:ascii="宋体" w:hAnsi="宋体"/>
          <w:color w:val="auto"/>
        </w:rPr>
        <w:t>报价人提供近 二 年（2015年、2016年）的</w:t>
      </w:r>
      <w:r>
        <w:rPr>
          <w:rFonts w:hint="eastAsia" w:ascii="宋体" w:hAnsi="宋体"/>
          <w:color w:val="auto"/>
        </w:rPr>
        <w:t>年度</w:t>
      </w:r>
      <w:r>
        <w:rPr>
          <w:rFonts w:hint="eastAsia" w:ascii="宋体" w:hAnsi="宋体"/>
          <w:color w:val="auto"/>
          <w:lang w:eastAsia="zh-CN"/>
        </w:rPr>
        <w:t>财务报告</w:t>
      </w:r>
      <w:r>
        <w:rPr>
          <w:rFonts w:hint="eastAsia" w:ascii="宋体" w:hAnsi="宋体"/>
          <w:color w:val="auto"/>
        </w:rPr>
        <w:t>（提供由会计师事务所出具的审计报告</w:t>
      </w:r>
      <w:r>
        <w:rPr>
          <w:rFonts w:hint="eastAsia" w:ascii="宋体" w:hAnsi="宋体"/>
          <w:color w:val="auto"/>
        </w:rPr>
        <w:t>，如响应供应商为新注册的，提供成立至今的月或季度财务状况报告复印件）</w:t>
      </w:r>
    </w:p>
    <w:p>
      <w:pPr>
        <w:spacing w:line="360" w:lineRule="auto"/>
        <w:rPr>
          <w:rFonts w:ascii="宋体"/>
          <w:color w:val="auto"/>
        </w:rPr>
      </w:pPr>
      <w:r>
        <w:rPr>
          <w:rFonts w:hint="eastAsia" w:ascii="宋体"/>
          <w:color w:val="auto"/>
        </w:rPr>
        <w:t xml:space="preserve">  </w:t>
      </w:r>
      <w:r>
        <w:rPr>
          <w:rFonts w:hint="eastAsia" w:ascii="宋体"/>
          <w:color w:val="auto"/>
          <w:lang w:val="en-US" w:eastAsia="zh-CN"/>
        </w:rPr>
        <w:t>8</w:t>
      </w:r>
      <w:r>
        <w:rPr>
          <w:rFonts w:ascii="宋体"/>
          <w:color w:val="auto"/>
        </w:rPr>
        <w:t>.</w:t>
      </w:r>
      <w:r>
        <w:rPr>
          <w:rFonts w:hint="eastAsia" w:ascii="宋体"/>
          <w:color w:val="auto"/>
        </w:rPr>
        <w:t>4</w:t>
      </w:r>
      <w:r>
        <w:rPr>
          <w:rFonts w:ascii="宋体"/>
          <w:color w:val="auto"/>
        </w:rPr>
        <w:t xml:space="preserve">  </w:t>
      </w:r>
      <w:r>
        <w:rPr>
          <w:rFonts w:hint="eastAsia" w:ascii="宋体"/>
          <w:color w:val="auto"/>
        </w:rPr>
        <w:t>关于诉讼。</w:t>
      </w:r>
    </w:p>
    <w:p>
      <w:pPr>
        <w:spacing w:line="360" w:lineRule="auto"/>
        <w:rPr>
          <w:rFonts w:ascii="宋体"/>
          <w:color w:val="auto"/>
        </w:rPr>
      </w:pPr>
      <w:r>
        <w:rPr>
          <w:rFonts w:hint="eastAsia" w:ascii="宋体"/>
          <w:color w:val="auto"/>
        </w:rPr>
        <w:t xml:space="preserve">  </w:t>
      </w:r>
      <w:r>
        <w:rPr>
          <w:rFonts w:hint="eastAsia" w:ascii="宋体"/>
          <w:color w:val="auto"/>
          <w:lang w:val="en-US" w:eastAsia="zh-CN"/>
        </w:rPr>
        <w:t>8</w:t>
      </w:r>
      <w:r>
        <w:rPr>
          <w:rFonts w:ascii="宋体"/>
          <w:color w:val="auto"/>
        </w:rPr>
        <w:t>.</w:t>
      </w:r>
      <w:r>
        <w:rPr>
          <w:rFonts w:hint="eastAsia" w:ascii="宋体"/>
          <w:color w:val="auto"/>
        </w:rPr>
        <w:t xml:space="preserve">5 </w:t>
      </w:r>
      <w:r>
        <w:rPr>
          <w:rFonts w:ascii="宋体"/>
          <w:color w:val="auto"/>
        </w:rPr>
        <w:t xml:space="preserve"> </w:t>
      </w:r>
      <w:r>
        <w:rPr>
          <w:rFonts w:hint="eastAsia" w:ascii="宋体"/>
          <w:color w:val="auto"/>
        </w:rPr>
        <w:t>名称变更证明</w:t>
      </w:r>
    </w:p>
    <w:p>
      <w:pPr>
        <w:spacing w:line="360" w:lineRule="auto"/>
        <w:rPr>
          <w:rFonts w:ascii="宋体"/>
          <w:color w:val="auto"/>
        </w:rPr>
      </w:pPr>
      <w:r>
        <w:rPr>
          <w:rFonts w:hint="eastAsia" w:ascii="宋体"/>
          <w:color w:val="auto"/>
        </w:rPr>
        <w:t xml:space="preserve">  </w:t>
      </w:r>
      <w:r>
        <w:rPr>
          <w:rFonts w:hint="eastAsia" w:ascii="宋体"/>
          <w:color w:val="auto"/>
          <w:lang w:val="en-US" w:eastAsia="zh-CN"/>
        </w:rPr>
        <w:t>8</w:t>
      </w:r>
      <w:r>
        <w:rPr>
          <w:rFonts w:hint="eastAsia" w:ascii="宋体"/>
          <w:color w:val="auto"/>
        </w:rPr>
        <w:t>.6  报价人获奖情况及质量认证</w:t>
      </w:r>
    </w:p>
    <w:p>
      <w:pPr>
        <w:spacing w:line="360" w:lineRule="auto"/>
        <w:ind w:firstLine="210" w:firstLineChars="100"/>
        <w:rPr>
          <w:rFonts w:ascii="宋体"/>
          <w:color w:val="auto"/>
        </w:rPr>
      </w:pPr>
      <w:r>
        <w:rPr>
          <w:rFonts w:hint="eastAsia" w:ascii="宋体"/>
          <w:color w:val="auto"/>
          <w:lang w:val="en-US" w:eastAsia="zh-CN"/>
        </w:rPr>
        <w:t>8</w:t>
      </w:r>
      <w:r>
        <w:rPr>
          <w:rFonts w:hint="eastAsia" w:ascii="宋体"/>
          <w:color w:val="auto"/>
        </w:rPr>
        <w:t xml:space="preserve">.7  报价人认为有必要提供的其它资料。 </w:t>
      </w:r>
    </w:p>
    <w:p>
      <w:pPr>
        <w:spacing w:line="360" w:lineRule="auto"/>
        <w:ind w:firstLine="315" w:firstLineChars="150"/>
        <w:rPr>
          <w:rFonts w:ascii="宋体"/>
          <w:color w:val="auto"/>
          <w:szCs w:val="21"/>
        </w:rPr>
      </w:pPr>
      <w:r>
        <w:rPr>
          <w:rFonts w:hint="eastAsia" w:ascii="宋体" w:hAnsi="宋体"/>
          <w:color w:val="auto"/>
          <w:szCs w:val="21"/>
        </w:rPr>
        <w:t>除上述资料外，《服务商务打分表》要求提交的其他资料。</w:t>
      </w:r>
    </w:p>
    <w:p>
      <w:pPr>
        <w:spacing w:line="480" w:lineRule="exact"/>
        <w:rPr>
          <w:rFonts w:ascii="宋体"/>
          <w:b/>
          <w:color w:val="auto"/>
          <w:sz w:val="28"/>
          <w:szCs w:val="28"/>
        </w:rPr>
      </w:pPr>
      <w:r>
        <w:rPr>
          <w:rFonts w:ascii="宋体"/>
          <w:color w:val="auto"/>
        </w:rPr>
        <w:br w:type="page"/>
      </w:r>
      <w:r>
        <w:rPr>
          <w:rFonts w:hint="eastAsia" w:ascii="宋体"/>
          <w:b/>
          <w:color w:val="auto"/>
          <w:sz w:val="28"/>
          <w:szCs w:val="28"/>
          <w:lang w:val="en-US" w:eastAsia="zh-CN"/>
        </w:rPr>
        <w:t>8</w:t>
      </w:r>
      <w:r>
        <w:rPr>
          <w:rFonts w:hint="eastAsia" w:ascii="宋体"/>
          <w:b/>
          <w:color w:val="auto"/>
          <w:sz w:val="28"/>
          <w:szCs w:val="28"/>
        </w:rPr>
        <w:t>.1  报价人简介</w:t>
      </w:r>
    </w:p>
    <w:p>
      <w:pPr>
        <w:spacing w:line="480" w:lineRule="exact"/>
        <w:jc w:val="both"/>
        <w:rPr>
          <w:rFonts w:ascii="宋体"/>
          <w:color w:val="auto"/>
          <w:szCs w:val="21"/>
        </w:rPr>
      </w:pPr>
      <w:r>
        <w:rPr>
          <w:rFonts w:hint="eastAsia" w:ascii="宋体"/>
          <w:color w:val="auto"/>
          <w:szCs w:val="21"/>
        </w:rPr>
        <w:t>报价人简介（报价人基本情况介绍，包括：人员、生产能力、技术设备、技术状况等，不够可以自制表格）</w:t>
      </w:r>
    </w:p>
    <w:p>
      <w:pPr>
        <w:pStyle w:val="23"/>
        <w:spacing w:line="480" w:lineRule="exact"/>
        <w:rPr>
          <w:color w:val="auto"/>
        </w:rPr>
      </w:pPr>
    </w:p>
    <w:p>
      <w:pPr>
        <w:spacing w:line="480" w:lineRule="exact"/>
        <w:jc w:val="center"/>
        <w:rPr>
          <w:rFonts w:ascii="宋体" w:hAnsi="宋体"/>
          <w:b/>
          <w:color w:val="auto"/>
          <w:sz w:val="32"/>
          <w:szCs w:val="32"/>
        </w:rPr>
      </w:pPr>
      <w:r>
        <w:rPr>
          <w:rFonts w:hint="eastAsia" w:ascii="宋体" w:hAnsi="宋体"/>
          <w:b/>
          <w:color w:val="auto"/>
          <w:sz w:val="32"/>
          <w:szCs w:val="32"/>
        </w:rPr>
        <w:t>1、报价人情况表</w:t>
      </w:r>
    </w:p>
    <w:tbl>
      <w:tblPr>
        <w:tblStyle w:val="30"/>
        <w:tblW w:w="948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1"/>
        <w:gridCol w:w="1240"/>
        <w:gridCol w:w="1460"/>
        <w:gridCol w:w="227"/>
        <w:gridCol w:w="1393"/>
        <w:gridCol w:w="256"/>
        <w:gridCol w:w="1004"/>
        <w:gridCol w:w="788"/>
        <w:gridCol w:w="292"/>
        <w:gridCol w:w="11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单位名称</w:t>
            </w:r>
          </w:p>
        </w:tc>
        <w:tc>
          <w:tcPr>
            <w:tcW w:w="7818" w:type="dxa"/>
            <w:gridSpan w:val="9"/>
            <w:vAlign w:val="center"/>
          </w:tcPr>
          <w:p>
            <w:pPr>
              <w:tabs>
                <w:tab w:val="left" w:pos="540"/>
              </w:tabs>
              <w:ind w:left="-132" w:leftChars="-64" w:right="-105" w:rightChars="-50" w:hanging="2"/>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地址</w:t>
            </w:r>
          </w:p>
        </w:tc>
        <w:tc>
          <w:tcPr>
            <w:tcW w:w="7818" w:type="dxa"/>
            <w:gridSpan w:val="9"/>
            <w:vAlign w:val="center"/>
          </w:tcPr>
          <w:p>
            <w:pPr>
              <w:tabs>
                <w:tab w:val="left" w:pos="540"/>
              </w:tabs>
              <w:ind w:left="-132" w:leftChars="-64" w:right="-105" w:rightChars="-50" w:hanging="2"/>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主管部门</w:t>
            </w:r>
          </w:p>
        </w:tc>
        <w:tc>
          <w:tcPr>
            <w:tcW w:w="1240" w:type="dxa"/>
            <w:vAlign w:val="center"/>
          </w:tcPr>
          <w:p>
            <w:pPr>
              <w:tabs>
                <w:tab w:val="left" w:pos="540"/>
              </w:tabs>
              <w:ind w:left="-132" w:leftChars="-64" w:right="-105" w:rightChars="-50" w:hanging="2"/>
              <w:jc w:val="center"/>
              <w:rPr>
                <w:rFonts w:ascii="宋体" w:hAnsi="宋体"/>
                <w:color w:val="auto"/>
                <w:szCs w:val="21"/>
              </w:rPr>
            </w:pPr>
          </w:p>
        </w:tc>
        <w:tc>
          <w:tcPr>
            <w:tcW w:w="1687" w:type="dxa"/>
            <w:gridSpan w:val="2"/>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法人代表</w:t>
            </w:r>
          </w:p>
        </w:tc>
        <w:tc>
          <w:tcPr>
            <w:tcW w:w="1649" w:type="dxa"/>
            <w:gridSpan w:val="2"/>
            <w:vAlign w:val="center"/>
          </w:tcPr>
          <w:p>
            <w:pPr>
              <w:tabs>
                <w:tab w:val="left" w:pos="540"/>
              </w:tabs>
              <w:ind w:left="-132" w:leftChars="-64" w:right="-105" w:rightChars="-50" w:hanging="2"/>
              <w:jc w:val="center"/>
              <w:rPr>
                <w:rFonts w:ascii="宋体" w:hAnsi="宋体"/>
                <w:color w:val="auto"/>
                <w:szCs w:val="21"/>
              </w:rPr>
            </w:pPr>
          </w:p>
        </w:tc>
        <w:tc>
          <w:tcPr>
            <w:tcW w:w="1792" w:type="dxa"/>
            <w:gridSpan w:val="2"/>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职务</w:t>
            </w:r>
          </w:p>
        </w:tc>
        <w:tc>
          <w:tcPr>
            <w:tcW w:w="1450" w:type="dxa"/>
            <w:gridSpan w:val="2"/>
          </w:tcPr>
          <w:p>
            <w:pPr>
              <w:tabs>
                <w:tab w:val="left" w:pos="540"/>
              </w:tabs>
              <w:ind w:left="-132" w:leftChars="-64" w:right="-105" w:rightChars="-50" w:hanging="2"/>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经济类型</w:t>
            </w:r>
          </w:p>
        </w:tc>
        <w:tc>
          <w:tcPr>
            <w:tcW w:w="1240" w:type="dxa"/>
            <w:vAlign w:val="center"/>
          </w:tcPr>
          <w:p>
            <w:pPr>
              <w:tabs>
                <w:tab w:val="left" w:pos="540"/>
              </w:tabs>
              <w:ind w:left="-132" w:leftChars="-64" w:right="-105" w:rightChars="-50" w:hanging="2"/>
              <w:jc w:val="center"/>
              <w:rPr>
                <w:rFonts w:ascii="宋体" w:hAnsi="宋体"/>
                <w:color w:val="auto"/>
                <w:szCs w:val="21"/>
              </w:rPr>
            </w:pPr>
          </w:p>
        </w:tc>
        <w:tc>
          <w:tcPr>
            <w:tcW w:w="1687" w:type="dxa"/>
            <w:gridSpan w:val="2"/>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授权代表</w:t>
            </w:r>
          </w:p>
        </w:tc>
        <w:tc>
          <w:tcPr>
            <w:tcW w:w="1649" w:type="dxa"/>
            <w:gridSpan w:val="2"/>
            <w:vAlign w:val="center"/>
          </w:tcPr>
          <w:p>
            <w:pPr>
              <w:tabs>
                <w:tab w:val="left" w:pos="540"/>
              </w:tabs>
              <w:ind w:left="-132" w:leftChars="-64" w:right="-105" w:rightChars="-50" w:hanging="2"/>
              <w:jc w:val="center"/>
              <w:rPr>
                <w:rFonts w:ascii="宋体" w:hAnsi="宋体"/>
                <w:color w:val="auto"/>
                <w:szCs w:val="21"/>
              </w:rPr>
            </w:pPr>
          </w:p>
        </w:tc>
        <w:tc>
          <w:tcPr>
            <w:tcW w:w="1792" w:type="dxa"/>
            <w:gridSpan w:val="2"/>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职务</w:t>
            </w:r>
          </w:p>
        </w:tc>
        <w:tc>
          <w:tcPr>
            <w:tcW w:w="1450" w:type="dxa"/>
            <w:gridSpan w:val="2"/>
          </w:tcPr>
          <w:p>
            <w:pPr>
              <w:tabs>
                <w:tab w:val="left" w:pos="540"/>
              </w:tabs>
              <w:ind w:left="-132" w:leftChars="-64" w:right="-105" w:rightChars="-50" w:hanging="2"/>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邮编</w:t>
            </w:r>
          </w:p>
        </w:tc>
        <w:tc>
          <w:tcPr>
            <w:tcW w:w="1240" w:type="dxa"/>
            <w:vAlign w:val="center"/>
          </w:tcPr>
          <w:p>
            <w:pPr>
              <w:tabs>
                <w:tab w:val="left" w:pos="540"/>
              </w:tabs>
              <w:ind w:left="-132" w:leftChars="-64" w:right="-105" w:rightChars="-50" w:hanging="2"/>
              <w:jc w:val="center"/>
              <w:rPr>
                <w:rFonts w:ascii="宋体" w:hAnsi="宋体"/>
                <w:color w:val="auto"/>
                <w:szCs w:val="21"/>
              </w:rPr>
            </w:pPr>
          </w:p>
        </w:tc>
        <w:tc>
          <w:tcPr>
            <w:tcW w:w="1687" w:type="dxa"/>
            <w:gridSpan w:val="2"/>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电话</w:t>
            </w:r>
          </w:p>
        </w:tc>
        <w:tc>
          <w:tcPr>
            <w:tcW w:w="1649" w:type="dxa"/>
            <w:gridSpan w:val="2"/>
            <w:vAlign w:val="center"/>
          </w:tcPr>
          <w:p>
            <w:pPr>
              <w:tabs>
                <w:tab w:val="left" w:pos="540"/>
              </w:tabs>
              <w:ind w:left="-132" w:leftChars="-64" w:right="-105" w:rightChars="-50" w:hanging="2"/>
              <w:jc w:val="center"/>
              <w:rPr>
                <w:rFonts w:ascii="宋体" w:hAnsi="宋体"/>
                <w:color w:val="auto"/>
                <w:szCs w:val="21"/>
              </w:rPr>
            </w:pPr>
          </w:p>
        </w:tc>
        <w:tc>
          <w:tcPr>
            <w:tcW w:w="1792" w:type="dxa"/>
            <w:gridSpan w:val="2"/>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传真</w:t>
            </w:r>
          </w:p>
        </w:tc>
        <w:tc>
          <w:tcPr>
            <w:tcW w:w="1450" w:type="dxa"/>
            <w:gridSpan w:val="2"/>
          </w:tcPr>
          <w:p>
            <w:pPr>
              <w:tabs>
                <w:tab w:val="left" w:pos="540"/>
              </w:tabs>
              <w:ind w:left="-132" w:leftChars="-64" w:right="-105" w:rightChars="-50" w:hanging="2"/>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单位简介及机构设置</w:t>
            </w:r>
          </w:p>
        </w:tc>
        <w:tc>
          <w:tcPr>
            <w:tcW w:w="7818" w:type="dxa"/>
            <w:gridSpan w:val="9"/>
          </w:tcPr>
          <w:p>
            <w:pPr>
              <w:tabs>
                <w:tab w:val="left" w:pos="540"/>
              </w:tabs>
              <w:ind w:left="-132" w:leftChars="-64" w:right="-105" w:rightChars="-50" w:hanging="2"/>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4" w:hRule="atLeast"/>
          <w:jc w:val="center"/>
        </w:trPr>
        <w:tc>
          <w:tcPr>
            <w:tcW w:w="1671" w:type="dxa"/>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单位优势及特长</w:t>
            </w:r>
          </w:p>
        </w:tc>
        <w:tc>
          <w:tcPr>
            <w:tcW w:w="7818" w:type="dxa"/>
            <w:gridSpan w:val="9"/>
          </w:tcPr>
          <w:p>
            <w:pPr>
              <w:tabs>
                <w:tab w:val="left" w:pos="540"/>
              </w:tabs>
              <w:ind w:left="-132" w:leftChars="-64" w:right="-105" w:rightChars="-50" w:hanging="2"/>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1671" w:type="dxa"/>
            <w:vMerge w:val="restart"/>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单位概况</w:t>
            </w:r>
          </w:p>
        </w:tc>
        <w:tc>
          <w:tcPr>
            <w:tcW w:w="1240" w:type="dxa"/>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注册资本</w:t>
            </w:r>
          </w:p>
        </w:tc>
        <w:tc>
          <w:tcPr>
            <w:tcW w:w="1460" w:type="dxa"/>
          </w:tcPr>
          <w:p>
            <w:pPr>
              <w:tabs>
                <w:tab w:val="left" w:pos="540"/>
              </w:tabs>
              <w:ind w:left="-132" w:leftChars="-64" w:right="-105" w:rightChars="-50" w:hanging="2"/>
              <w:jc w:val="right"/>
              <w:rPr>
                <w:rFonts w:ascii="宋体" w:hAnsi="宋体"/>
                <w:color w:val="auto"/>
                <w:szCs w:val="21"/>
              </w:rPr>
            </w:pPr>
            <w:r>
              <w:rPr>
                <w:rFonts w:hint="eastAsia" w:ascii="宋体" w:hAnsi="宋体"/>
                <w:color w:val="auto"/>
                <w:szCs w:val="21"/>
              </w:rPr>
              <w:t>万元</w:t>
            </w:r>
          </w:p>
        </w:tc>
        <w:tc>
          <w:tcPr>
            <w:tcW w:w="1620" w:type="dxa"/>
            <w:gridSpan w:val="2"/>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占地面积</w:t>
            </w:r>
          </w:p>
        </w:tc>
        <w:tc>
          <w:tcPr>
            <w:tcW w:w="3498" w:type="dxa"/>
            <w:gridSpan w:val="5"/>
          </w:tcPr>
          <w:p>
            <w:pPr>
              <w:tabs>
                <w:tab w:val="left" w:pos="540"/>
              </w:tabs>
              <w:ind w:left="-134" w:leftChars="-64" w:right="-105" w:rightChars="-50" w:firstLine="3045" w:firstLineChars="1450"/>
              <w:jc w:val="center"/>
              <w:rPr>
                <w:rFonts w:ascii="宋体" w:hAnsi="宋体"/>
                <w:color w:val="auto"/>
                <w:szCs w:val="21"/>
              </w:rPr>
            </w:pPr>
            <w:r>
              <w:rPr>
                <w:rFonts w:hint="eastAsia" w:ascii="宋体" w:hAnsi="宋体"/>
                <w:color w:val="auto"/>
                <w:szCs w:val="21"/>
              </w:rPr>
              <w:t>M</w:t>
            </w:r>
            <w:r>
              <w:rPr>
                <w:rFonts w:hint="eastAsia" w:ascii="宋体" w:hAnsi="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jc w:val="center"/>
        </w:trPr>
        <w:tc>
          <w:tcPr>
            <w:tcW w:w="1671" w:type="dxa"/>
            <w:vMerge w:val="continue"/>
          </w:tcPr>
          <w:p>
            <w:pPr>
              <w:tabs>
                <w:tab w:val="left" w:pos="540"/>
              </w:tabs>
              <w:ind w:left="-132" w:leftChars="-64" w:right="-105" w:rightChars="-50" w:hanging="2"/>
              <w:jc w:val="center"/>
              <w:rPr>
                <w:rFonts w:ascii="宋体" w:hAnsi="宋体"/>
                <w:color w:val="auto"/>
                <w:szCs w:val="21"/>
              </w:rPr>
            </w:pPr>
          </w:p>
        </w:tc>
        <w:tc>
          <w:tcPr>
            <w:tcW w:w="1240" w:type="dxa"/>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职工总数</w:t>
            </w:r>
          </w:p>
        </w:tc>
        <w:tc>
          <w:tcPr>
            <w:tcW w:w="1460" w:type="dxa"/>
          </w:tcPr>
          <w:p>
            <w:pPr>
              <w:tabs>
                <w:tab w:val="left" w:pos="540"/>
              </w:tabs>
              <w:ind w:left="-132" w:leftChars="-64" w:right="-105" w:rightChars="-50" w:hanging="2"/>
              <w:jc w:val="right"/>
              <w:rPr>
                <w:rFonts w:ascii="宋体" w:hAnsi="宋体"/>
                <w:color w:val="auto"/>
                <w:szCs w:val="21"/>
              </w:rPr>
            </w:pPr>
            <w:r>
              <w:rPr>
                <w:rFonts w:hint="eastAsia" w:ascii="宋体" w:hAnsi="宋体"/>
                <w:color w:val="auto"/>
                <w:szCs w:val="21"/>
              </w:rPr>
              <w:t>人</w:t>
            </w:r>
          </w:p>
        </w:tc>
        <w:tc>
          <w:tcPr>
            <w:tcW w:w="1620" w:type="dxa"/>
            <w:gridSpan w:val="2"/>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建筑面积</w:t>
            </w:r>
          </w:p>
        </w:tc>
        <w:tc>
          <w:tcPr>
            <w:tcW w:w="3498" w:type="dxa"/>
            <w:gridSpan w:val="5"/>
          </w:tcPr>
          <w:p>
            <w:pPr>
              <w:tabs>
                <w:tab w:val="left" w:pos="540"/>
              </w:tabs>
              <w:ind w:left="-134" w:leftChars="-64" w:right="-105" w:rightChars="-50" w:firstLine="3045" w:firstLineChars="1450"/>
              <w:jc w:val="center"/>
              <w:rPr>
                <w:rFonts w:ascii="宋体" w:hAnsi="宋体"/>
                <w:color w:val="auto"/>
                <w:szCs w:val="21"/>
              </w:rPr>
            </w:pPr>
            <w:r>
              <w:rPr>
                <w:rFonts w:hint="eastAsia" w:ascii="宋体" w:hAnsi="宋体"/>
                <w:color w:val="auto"/>
                <w:szCs w:val="21"/>
              </w:rPr>
              <w:t>M</w:t>
            </w:r>
            <w:r>
              <w:rPr>
                <w:rFonts w:hint="eastAsia" w:ascii="宋体" w:hAnsi="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1" w:hRule="atLeast"/>
          <w:jc w:val="center"/>
        </w:trPr>
        <w:tc>
          <w:tcPr>
            <w:tcW w:w="1671" w:type="dxa"/>
            <w:vMerge w:val="continue"/>
          </w:tcPr>
          <w:p>
            <w:pPr>
              <w:tabs>
                <w:tab w:val="left" w:pos="540"/>
              </w:tabs>
              <w:ind w:left="-132" w:leftChars="-64" w:right="-105" w:rightChars="-50" w:hanging="2"/>
              <w:jc w:val="center"/>
              <w:rPr>
                <w:rFonts w:ascii="宋体" w:hAnsi="宋体"/>
                <w:color w:val="auto"/>
                <w:szCs w:val="21"/>
              </w:rPr>
            </w:pPr>
          </w:p>
        </w:tc>
        <w:tc>
          <w:tcPr>
            <w:tcW w:w="1240" w:type="dxa"/>
            <w:vMerge w:val="restart"/>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资产情况</w:t>
            </w:r>
          </w:p>
        </w:tc>
        <w:tc>
          <w:tcPr>
            <w:tcW w:w="1460" w:type="dxa"/>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净资产</w:t>
            </w:r>
          </w:p>
        </w:tc>
        <w:tc>
          <w:tcPr>
            <w:tcW w:w="1620" w:type="dxa"/>
            <w:gridSpan w:val="2"/>
            <w:vAlign w:val="center"/>
          </w:tcPr>
          <w:p>
            <w:pPr>
              <w:tabs>
                <w:tab w:val="left" w:pos="540"/>
              </w:tabs>
              <w:ind w:left="-132" w:leftChars="-64" w:right="-105" w:rightChars="-50" w:hanging="2"/>
              <w:jc w:val="right"/>
              <w:rPr>
                <w:rFonts w:ascii="宋体" w:hAnsi="宋体"/>
                <w:color w:val="auto"/>
                <w:szCs w:val="21"/>
              </w:rPr>
            </w:pPr>
            <w:r>
              <w:rPr>
                <w:rFonts w:hint="eastAsia" w:ascii="宋体" w:hAnsi="宋体"/>
                <w:color w:val="auto"/>
                <w:szCs w:val="21"/>
              </w:rPr>
              <w:t>万元</w:t>
            </w:r>
          </w:p>
        </w:tc>
        <w:tc>
          <w:tcPr>
            <w:tcW w:w="3498" w:type="dxa"/>
            <w:gridSpan w:val="5"/>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固定资产原值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jc w:val="center"/>
        </w:trPr>
        <w:tc>
          <w:tcPr>
            <w:tcW w:w="1671" w:type="dxa"/>
            <w:vMerge w:val="continue"/>
          </w:tcPr>
          <w:p>
            <w:pPr>
              <w:tabs>
                <w:tab w:val="left" w:pos="540"/>
              </w:tabs>
              <w:ind w:left="-132" w:leftChars="-64" w:right="-105" w:rightChars="-50" w:hanging="2"/>
              <w:jc w:val="center"/>
              <w:rPr>
                <w:rFonts w:ascii="宋体" w:hAnsi="宋体"/>
                <w:color w:val="auto"/>
                <w:szCs w:val="21"/>
              </w:rPr>
            </w:pPr>
          </w:p>
        </w:tc>
        <w:tc>
          <w:tcPr>
            <w:tcW w:w="1240" w:type="dxa"/>
            <w:vMerge w:val="continue"/>
          </w:tcPr>
          <w:p>
            <w:pPr>
              <w:tabs>
                <w:tab w:val="left" w:pos="540"/>
              </w:tabs>
              <w:ind w:left="-132" w:leftChars="-64" w:right="-105" w:rightChars="-50" w:hanging="2"/>
              <w:jc w:val="center"/>
              <w:rPr>
                <w:rFonts w:ascii="宋体" w:hAnsi="宋体"/>
                <w:color w:val="auto"/>
                <w:szCs w:val="21"/>
              </w:rPr>
            </w:pPr>
          </w:p>
        </w:tc>
        <w:tc>
          <w:tcPr>
            <w:tcW w:w="1460" w:type="dxa"/>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负债</w:t>
            </w:r>
          </w:p>
        </w:tc>
        <w:tc>
          <w:tcPr>
            <w:tcW w:w="1620" w:type="dxa"/>
            <w:gridSpan w:val="2"/>
            <w:vAlign w:val="center"/>
          </w:tcPr>
          <w:p>
            <w:pPr>
              <w:tabs>
                <w:tab w:val="left" w:pos="540"/>
              </w:tabs>
              <w:ind w:left="-132" w:leftChars="-64" w:right="-105" w:rightChars="-50" w:hanging="2"/>
              <w:jc w:val="right"/>
              <w:rPr>
                <w:rFonts w:ascii="宋体" w:hAnsi="宋体"/>
                <w:color w:val="auto"/>
                <w:szCs w:val="21"/>
              </w:rPr>
            </w:pPr>
            <w:r>
              <w:rPr>
                <w:rFonts w:hint="eastAsia" w:ascii="宋体" w:hAnsi="宋体"/>
                <w:color w:val="auto"/>
                <w:szCs w:val="21"/>
              </w:rPr>
              <w:t>万元</w:t>
            </w:r>
          </w:p>
        </w:tc>
        <w:tc>
          <w:tcPr>
            <w:tcW w:w="3498" w:type="dxa"/>
            <w:gridSpan w:val="5"/>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固定资产净值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1" w:type="dxa"/>
            <w:vMerge w:val="restart"/>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财务状况</w:t>
            </w:r>
          </w:p>
        </w:tc>
        <w:tc>
          <w:tcPr>
            <w:tcW w:w="1240" w:type="dxa"/>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年度</w:t>
            </w:r>
          </w:p>
        </w:tc>
        <w:tc>
          <w:tcPr>
            <w:tcW w:w="1460" w:type="dxa"/>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主营收入</w:t>
            </w:r>
          </w:p>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（万元）</w:t>
            </w:r>
          </w:p>
        </w:tc>
        <w:tc>
          <w:tcPr>
            <w:tcW w:w="1620" w:type="dxa"/>
            <w:gridSpan w:val="2"/>
            <w:vAlign w:val="center"/>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收入总额</w:t>
            </w:r>
          </w:p>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（万元）</w:t>
            </w:r>
          </w:p>
        </w:tc>
        <w:tc>
          <w:tcPr>
            <w:tcW w:w="1260" w:type="dxa"/>
            <w:gridSpan w:val="2"/>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利润总额（万元）</w:t>
            </w:r>
          </w:p>
        </w:tc>
        <w:tc>
          <w:tcPr>
            <w:tcW w:w="1080" w:type="dxa"/>
            <w:gridSpan w:val="2"/>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净利润（万元）</w:t>
            </w:r>
          </w:p>
        </w:tc>
        <w:tc>
          <w:tcPr>
            <w:tcW w:w="1158" w:type="dxa"/>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资产负债率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jc w:val="center"/>
        </w:trPr>
        <w:tc>
          <w:tcPr>
            <w:tcW w:w="1671" w:type="dxa"/>
            <w:vMerge w:val="continue"/>
          </w:tcPr>
          <w:p>
            <w:pPr>
              <w:tabs>
                <w:tab w:val="left" w:pos="540"/>
              </w:tabs>
              <w:ind w:left="-132" w:leftChars="-64" w:right="-105" w:rightChars="-50" w:hanging="2"/>
              <w:jc w:val="center"/>
              <w:rPr>
                <w:rFonts w:ascii="宋体" w:hAnsi="宋体"/>
                <w:color w:val="auto"/>
                <w:szCs w:val="21"/>
              </w:rPr>
            </w:pPr>
          </w:p>
        </w:tc>
        <w:tc>
          <w:tcPr>
            <w:tcW w:w="1240" w:type="dxa"/>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2015</w:t>
            </w:r>
          </w:p>
        </w:tc>
        <w:tc>
          <w:tcPr>
            <w:tcW w:w="1460" w:type="dxa"/>
          </w:tcPr>
          <w:p>
            <w:pPr>
              <w:tabs>
                <w:tab w:val="left" w:pos="540"/>
              </w:tabs>
              <w:ind w:left="-132" w:leftChars="-64" w:right="-105" w:rightChars="-50" w:hanging="2"/>
              <w:jc w:val="center"/>
              <w:rPr>
                <w:rFonts w:ascii="宋体" w:hAnsi="宋体"/>
                <w:color w:val="auto"/>
                <w:szCs w:val="21"/>
              </w:rPr>
            </w:pPr>
          </w:p>
        </w:tc>
        <w:tc>
          <w:tcPr>
            <w:tcW w:w="1620" w:type="dxa"/>
            <w:gridSpan w:val="2"/>
          </w:tcPr>
          <w:p>
            <w:pPr>
              <w:tabs>
                <w:tab w:val="left" w:pos="540"/>
              </w:tabs>
              <w:ind w:left="-132" w:leftChars="-64" w:right="-105" w:rightChars="-50" w:hanging="2"/>
              <w:jc w:val="center"/>
              <w:rPr>
                <w:rFonts w:ascii="宋体" w:hAnsi="宋体"/>
                <w:color w:val="auto"/>
                <w:szCs w:val="21"/>
              </w:rPr>
            </w:pPr>
          </w:p>
        </w:tc>
        <w:tc>
          <w:tcPr>
            <w:tcW w:w="1260" w:type="dxa"/>
            <w:gridSpan w:val="2"/>
          </w:tcPr>
          <w:p>
            <w:pPr>
              <w:tabs>
                <w:tab w:val="left" w:pos="540"/>
              </w:tabs>
              <w:ind w:left="-132" w:leftChars="-64" w:right="-105" w:rightChars="-50" w:hanging="2"/>
              <w:jc w:val="center"/>
              <w:rPr>
                <w:rFonts w:ascii="宋体" w:hAnsi="宋体"/>
                <w:color w:val="auto"/>
                <w:szCs w:val="21"/>
              </w:rPr>
            </w:pPr>
          </w:p>
        </w:tc>
        <w:tc>
          <w:tcPr>
            <w:tcW w:w="1080" w:type="dxa"/>
            <w:gridSpan w:val="2"/>
          </w:tcPr>
          <w:p>
            <w:pPr>
              <w:tabs>
                <w:tab w:val="left" w:pos="540"/>
              </w:tabs>
              <w:ind w:left="-132" w:leftChars="-64" w:right="-105" w:rightChars="-50" w:hanging="2"/>
              <w:jc w:val="center"/>
              <w:rPr>
                <w:rFonts w:ascii="宋体" w:hAnsi="宋体"/>
                <w:color w:val="auto"/>
                <w:szCs w:val="21"/>
              </w:rPr>
            </w:pPr>
          </w:p>
        </w:tc>
        <w:tc>
          <w:tcPr>
            <w:tcW w:w="1158" w:type="dxa"/>
          </w:tcPr>
          <w:p>
            <w:pPr>
              <w:tabs>
                <w:tab w:val="left" w:pos="540"/>
              </w:tabs>
              <w:ind w:left="-132" w:leftChars="-64" w:right="-105" w:rightChars="-50" w:hanging="2"/>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atLeast"/>
          <w:jc w:val="center"/>
        </w:trPr>
        <w:tc>
          <w:tcPr>
            <w:tcW w:w="1671" w:type="dxa"/>
            <w:vMerge w:val="continue"/>
          </w:tcPr>
          <w:p>
            <w:pPr>
              <w:tabs>
                <w:tab w:val="left" w:pos="540"/>
              </w:tabs>
              <w:ind w:left="-132" w:leftChars="-64" w:right="-105" w:rightChars="-50" w:hanging="2"/>
              <w:jc w:val="center"/>
              <w:rPr>
                <w:rFonts w:ascii="宋体" w:hAnsi="宋体"/>
                <w:color w:val="auto"/>
                <w:szCs w:val="21"/>
              </w:rPr>
            </w:pPr>
          </w:p>
        </w:tc>
        <w:tc>
          <w:tcPr>
            <w:tcW w:w="1240" w:type="dxa"/>
          </w:tcPr>
          <w:p>
            <w:pPr>
              <w:tabs>
                <w:tab w:val="left" w:pos="540"/>
              </w:tabs>
              <w:ind w:left="-132" w:leftChars="-64" w:right="-105" w:rightChars="-50" w:hanging="2"/>
              <w:jc w:val="center"/>
              <w:rPr>
                <w:rFonts w:ascii="宋体" w:hAnsi="宋体"/>
                <w:color w:val="auto"/>
                <w:szCs w:val="21"/>
              </w:rPr>
            </w:pPr>
            <w:r>
              <w:rPr>
                <w:rFonts w:hint="eastAsia" w:ascii="宋体" w:hAnsi="宋体"/>
                <w:color w:val="auto"/>
                <w:szCs w:val="21"/>
              </w:rPr>
              <w:t>2016</w:t>
            </w:r>
          </w:p>
        </w:tc>
        <w:tc>
          <w:tcPr>
            <w:tcW w:w="1460" w:type="dxa"/>
          </w:tcPr>
          <w:p>
            <w:pPr>
              <w:tabs>
                <w:tab w:val="left" w:pos="540"/>
              </w:tabs>
              <w:ind w:left="-132" w:leftChars="-64" w:right="-105" w:rightChars="-50" w:hanging="2"/>
              <w:jc w:val="center"/>
              <w:rPr>
                <w:rFonts w:ascii="宋体" w:hAnsi="宋体"/>
                <w:color w:val="auto"/>
                <w:szCs w:val="21"/>
              </w:rPr>
            </w:pPr>
          </w:p>
        </w:tc>
        <w:tc>
          <w:tcPr>
            <w:tcW w:w="1620" w:type="dxa"/>
            <w:gridSpan w:val="2"/>
          </w:tcPr>
          <w:p>
            <w:pPr>
              <w:tabs>
                <w:tab w:val="left" w:pos="540"/>
              </w:tabs>
              <w:ind w:left="-132" w:leftChars="-64" w:right="-105" w:rightChars="-50" w:hanging="2"/>
              <w:jc w:val="center"/>
              <w:rPr>
                <w:rFonts w:ascii="宋体" w:hAnsi="宋体"/>
                <w:color w:val="auto"/>
                <w:szCs w:val="21"/>
              </w:rPr>
            </w:pPr>
          </w:p>
        </w:tc>
        <w:tc>
          <w:tcPr>
            <w:tcW w:w="1260" w:type="dxa"/>
            <w:gridSpan w:val="2"/>
          </w:tcPr>
          <w:p>
            <w:pPr>
              <w:tabs>
                <w:tab w:val="left" w:pos="540"/>
              </w:tabs>
              <w:ind w:left="-132" w:leftChars="-64" w:right="-105" w:rightChars="-50" w:hanging="2"/>
              <w:jc w:val="center"/>
              <w:rPr>
                <w:rFonts w:ascii="宋体" w:hAnsi="宋体"/>
                <w:color w:val="auto"/>
                <w:szCs w:val="21"/>
              </w:rPr>
            </w:pPr>
          </w:p>
        </w:tc>
        <w:tc>
          <w:tcPr>
            <w:tcW w:w="1080" w:type="dxa"/>
            <w:gridSpan w:val="2"/>
          </w:tcPr>
          <w:p>
            <w:pPr>
              <w:tabs>
                <w:tab w:val="left" w:pos="540"/>
              </w:tabs>
              <w:ind w:left="-132" w:leftChars="-64" w:right="-105" w:rightChars="-50" w:hanging="2"/>
              <w:jc w:val="center"/>
              <w:rPr>
                <w:rFonts w:ascii="宋体" w:hAnsi="宋体"/>
                <w:color w:val="auto"/>
                <w:szCs w:val="21"/>
              </w:rPr>
            </w:pPr>
          </w:p>
        </w:tc>
        <w:tc>
          <w:tcPr>
            <w:tcW w:w="1158" w:type="dxa"/>
          </w:tcPr>
          <w:p>
            <w:pPr>
              <w:tabs>
                <w:tab w:val="left" w:pos="540"/>
              </w:tabs>
              <w:ind w:left="-132" w:leftChars="-64" w:right="-105" w:rightChars="-50" w:hanging="2"/>
              <w:jc w:val="center"/>
              <w:rPr>
                <w:rFonts w:ascii="宋体" w:hAnsi="宋体"/>
                <w:color w:val="auto"/>
                <w:szCs w:val="21"/>
              </w:rPr>
            </w:pPr>
          </w:p>
        </w:tc>
      </w:tr>
    </w:tbl>
    <w:p>
      <w:pPr>
        <w:spacing w:line="480" w:lineRule="exact"/>
        <w:rPr>
          <w:rFonts w:ascii="宋体"/>
          <w:color w:val="auto"/>
          <w:sz w:val="32"/>
          <w:szCs w:val="32"/>
        </w:rPr>
      </w:pPr>
    </w:p>
    <w:p>
      <w:pPr>
        <w:spacing w:line="480" w:lineRule="exact"/>
        <w:rPr>
          <w:rFonts w:ascii="宋体"/>
          <w:b/>
          <w:color w:val="auto"/>
          <w:sz w:val="28"/>
          <w:szCs w:val="28"/>
        </w:rPr>
      </w:pPr>
      <w:r>
        <w:rPr>
          <w:rFonts w:ascii="宋体"/>
          <w:color w:val="auto"/>
          <w:sz w:val="32"/>
          <w:szCs w:val="32"/>
        </w:rPr>
        <w:br w:type="page"/>
      </w:r>
      <w:r>
        <w:rPr>
          <w:rFonts w:hint="eastAsia" w:ascii="宋体"/>
          <w:b/>
          <w:color w:val="auto"/>
          <w:sz w:val="28"/>
          <w:szCs w:val="28"/>
          <w:lang w:val="en-US" w:eastAsia="zh-CN"/>
        </w:rPr>
        <w:t>8</w:t>
      </w:r>
      <w:r>
        <w:rPr>
          <w:rFonts w:hint="eastAsia" w:ascii="宋体"/>
          <w:b/>
          <w:color w:val="auto"/>
          <w:sz w:val="28"/>
          <w:szCs w:val="28"/>
        </w:rPr>
        <w:t>.2  报价人提供同类项目业绩</w:t>
      </w:r>
    </w:p>
    <w:p>
      <w:pPr>
        <w:spacing w:line="480" w:lineRule="exact"/>
        <w:jc w:val="center"/>
        <w:rPr>
          <w:rFonts w:ascii="宋体"/>
          <w:color w:val="auto"/>
        </w:rPr>
      </w:pPr>
      <w:r>
        <w:rPr>
          <w:rFonts w:hint="eastAsia" w:ascii="宋体"/>
          <w:b/>
          <w:color w:val="auto"/>
          <w:sz w:val="28"/>
        </w:rPr>
        <w:t xml:space="preserve">  </w:t>
      </w:r>
    </w:p>
    <w:p>
      <w:pPr>
        <w:spacing w:line="480" w:lineRule="exact"/>
        <w:jc w:val="center"/>
        <w:rPr>
          <w:rFonts w:ascii="宋体" w:hAnsi="宋体"/>
          <w:b/>
          <w:color w:val="auto"/>
          <w:sz w:val="32"/>
          <w:szCs w:val="32"/>
        </w:rPr>
      </w:pPr>
      <w:r>
        <w:rPr>
          <w:rFonts w:hint="eastAsia" w:ascii="宋体" w:hAnsi="宋体"/>
          <w:b/>
          <w:color w:val="auto"/>
          <w:sz w:val="32"/>
          <w:szCs w:val="32"/>
        </w:rPr>
        <w:t>业  绩  表</w:t>
      </w:r>
    </w:p>
    <w:p>
      <w:pPr>
        <w:spacing w:line="480" w:lineRule="exact"/>
        <w:jc w:val="center"/>
        <w:rPr>
          <w:rFonts w:ascii="宋体" w:hAnsi="宋体"/>
          <w:b/>
          <w:color w:val="auto"/>
          <w:sz w:val="32"/>
          <w:szCs w:val="32"/>
        </w:rPr>
      </w:pPr>
    </w:p>
    <w:tbl>
      <w:tblPr>
        <w:tblStyle w:val="30"/>
        <w:tblW w:w="9313" w:type="dxa"/>
        <w:tblInd w:w="0" w:type="dxa"/>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
      <w:tblGrid>
        <w:gridCol w:w="746"/>
        <w:gridCol w:w="1682"/>
        <w:gridCol w:w="1338"/>
        <w:gridCol w:w="1362"/>
        <w:gridCol w:w="10"/>
        <w:gridCol w:w="1430"/>
        <w:gridCol w:w="1558"/>
        <w:gridCol w:w="1187"/>
      </w:tblGrid>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65" w:hRule="atLeast"/>
          <w:tblHeader/>
        </w:trPr>
        <w:tc>
          <w:tcPr>
            <w:tcW w:w="746" w:type="dxa"/>
            <w:vAlign w:val="center"/>
          </w:tcPr>
          <w:p>
            <w:pPr>
              <w:spacing w:line="360" w:lineRule="auto"/>
              <w:rPr>
                <w:rFonts w:hint="eastAsia" w:ascii="宋体" w:hAnsi="宋体"/>
                <w:b/>
                <w:color w:val="auto"/>
                <w:sz w:val="18"/>
                <w:szCs w:val="18"/>
              </w:rPr>
            </w:pPr>
            <w:r>
              <w:rPr>
                <w:rFonts w:hint="eastAsia" w:ascii="宋体" w:hAnsi="宋体"/>
                <w:b/>
                <w:color w:val="auto"/>
                <w:sz w:val="18"/>
                <w:szCs w:val="18"/>
              </w:rPr>
              <w:t>序号</w:t>
            </w:r>
          </w:p>
        </w:tc>
        <w:tc>
          <w:tcPr>
            <w:tcW w:w="1682" w:type="dxa"/>
            <w:vAlign w:val="center"/>
          </w:tcPr>
          <w:p>
            <w:pPr>
              <w:spacing w:line="360" w:lineRule="auto"/>
              <w:ind w:left="178" w:leftChars="85"/>
              <w:jc w:val="center"/>
              <w:rPr>
                <w:rFonts w:hint="eastAsia" w:ascii="宋体" w:hAnsi="宋体"/>
                <w:b/>
                <w:color w:val="auto"/>
                <w:sz w:val="18"/>
                <w:szCs w:val="18"/>
              </w:rPr>
            </w:pPr>
            <w:r>
              <w:rPr>
                <w:rFonts w:hint="eastAsia" w:ascii="宋体" w:hAnsi="宋体"/>
                <w:b/>
                <w:color w:val="auto"/>
                <w:sz w:val="18"/>
                <w:szCs w:val="18"/>
              </w:rPr>
              <w:t>项目名称</w:t>
            </w:r>
          </w:p>
        </w:tc>
        <w:tc>
          <w:tcPr>
            <w:tcW w:w="1338" w:type="dxa"/>
            <w:vAlign w:val="center"/>
          </w:tcPr>
          <w:p>
            <w:pPr>
              <w:spacing w:line="360" w:lineRule="auto"/>
              <w:ind w:left="178" w:leftChars="85"/>
              <w:jc w:val="center"/>
              <w:rPr>
                <w:rFonts w:hint="eastAsia" w:ascii="宋体" w:hAnsi="宋体"/>
                <w:b/>
                <w:color w:val="auto"/>
                <w:sz w:val="18"/>
                <w:szCs w:val="18"/>
              </w:rPr>
            </w:pPr>
            <w:r>
              <w:rPr>
                <w:rFonts w:hint="eastAsia" w:ascii="宋体" w:hAnsi="宋体"/>
                <w:b/>
                <w:color w:val="auto"/>
                <w:sz w:val="18"/>
                <w:szCs w:val="18"/>
              </w:rPr>
              <w:t>编审金额</w:t>
            </w:r>
          </w:p>
        </w:tc>
        <w:tc>
          <w:tcPr>
            <w:tcW w:w="1362" w:type="dxa"/>
            <w:vAlign w:val="center"/>
          </w:tcPr>
          <w:p>
            <w:pPr>
              <w:spacing w:line="360" w:lineRule="auto"/>
              <w:ind w:left="178" w:leftChars="85"/>
              <w:jc w:val="center"/>
              <w:rPr>
                <w:rFonts w:hint="eastAsia" w:ascii="宋体" w:hAnsi="宋体"/>
                <w:b/>
                <w:color w:val="auto"/>
                <w:sz w:val="18"/>
                <w:szCs w:val="18"/>
              </w:rPr>
            </w:pPr>
            <w:r>
              <w:rPr>
                <w:rFonts w:hint="eastAsia" w:ascii="宋体" w:hAnsi="宋体"/>
                <w:b/>
                <w:color w:val="auto"/>
                <w:sz w:val="18"/>
                <w:szCs w:val="18"/>
              </w:rPr>
              <w:t>收费金额</w:t>
            </w:r>
          </w:p>
        </w:tc>
        <w:tc>
          <w:tcPr>
            <w:tcW w:w="1440" w:type="dxa"/>
            <w:gridSpan w:val="2"/>
            <w:vAlign w:val="center"/>
          </w:tcPr>
          <w:p>
            <w:pPr>
              <w:spacing w:line="360" w:lineRule="auto"/>
              <w:ind w:left="178" w:leftChars="85"/>
              <w:jc w:val="center"/>
              <w:rPr>
                <w:rFonts w:hint="eastAsia" w:ascii="宋体" w:hAnsi="宋体"/>
                <w:b/>
                <w:color w:val="auto"/>
                <w:sz w:val="18"/>
                <w:szCs w:val="18"/>
              </w:rPr>
            </w:pPr>
            <w:r>
              <w:rPr>
                <w:rFonts w:hint="eastAsia" w:ascii="宋体" w:hAnsi="宋体"/>
                <w:b/>
                <w:color w:val="auto"/>
                <w:sz w:val="18"/>
                <w:szCs w:val="18"/>
              </w:rPr>
              <w:t>委托方名称</w:t>
            </w:r>
          </w:p>
        </w:tc>
        <w:tc>
          <w:tcPr>
            <w:tcW w:w="1558" w:type="dxa"/>
            <w:vAlign w:val="center"/>
          </w:tcPr>
          <w:p>
            <w:pPr>
              <w:spacing w:line="360" w:lineRule="auto"/>
              <w:ind w:left="178" w:leftChars="85"/>
              <w:jc w:val="center"/>
              <w:rPr>
                <w:rFonts w:hint="eastAsia" w:ascii="宋体" w:hAnsi="宋体"/>
                <w:b/>
                <w:color w:val="auto"/>
                <w:sz w:val="18"/>
                <w:szCs w:val="18"/>
              </w:rPr>
            </w:pPr>
            <w:r>
              <w:rPr>
                <w:rFonts w:hint="eastAsia" w:ascii="宋体" w:hAnsi="宋体"/>
                <w:b/>
                <w:color w:val="auto"/>
                <w:sz w:val="18"/>
                <w:szCs w:val="18"/>
              </w:rPr>
              <w:t>工程类型</w:t>
            </w:r>
          </w:p>
        </w:tc>
        <w:tc>
          <w:tcPr>
            <w:tcW w:w="1187" w:type="dxa"/>
            <w:vAlign w:val="center"/>
          </w:tcPr>
          <w:p>
            <w:pPr>
              <w:spacing w:line="360" w:lineRule="auto"/>
              <w:ind w:left="178" w:leftChars="85"/>
              <w:jc w:val="center"/>
              <w:rPr>
                <w:rFonts w:hint="eastAsia" w:ascii="宋体" w:hAnsi="宋体"/>
                <w:b/>
                <w:color w:val="auto"/>
                <w:sz w:val="18"/>
                <w:szCs w:val="18"/>
              </w:rPr>
            </w:pPr>
            <w:r>
              <w:rPr>
                <w:rFonts w:hint="eastAsia" w:ascii="宋体" w:hAnsi="宋体"/>
                <w:b/>
                <w:color w:val="auto"/>
                <w:sz w:val="18"/>
                <w:szCs w:val="18"/>
              </w:rPr>
              <w:t>完成时间</w:t>
            </w: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65" w:hRule="atLeast"/>
        </w:trPr>
        <w:tc>
          <w:tcPr>
            <w:tcW w:w="9313" w:type="dxa"/>
            <w:gridSpan w:val="8"/>
            <w:vAlign w:val="center"/>
          </w:tcPr>
          <w:p>
            <w:pPr>
              <w:spacing w:line="360" w:lineRule="auto"/>
              <w:ind w:left="178" w:leftChars="85"/>
              <w:jc w:val="center"/>
              <w:rPr>
                <w:rFonts w:hint="eastAsia" w:ascii="宋体" w:hAnsi="宋体"/>
                <w:color w:val="auto"/>
                <w:sz w:val="18"/>
                <w:szCs w:val="18"/>
              </w:rPr>
            </w:pPr>
            <w:r>
              <w:rPr>
                <w:rFonts w:hint="eastAsia" w:ascii="宋体" w:hAnsi="宋体"/>
                <w:color w:val="auto"/>
                <w:sz w:val="18"/>
                <w:szCs w:val="18"/>
              </w:rPr>
              <w:t>工程造价咨询总业绩</w:t>
            </w: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c>
          <w:tcPr>
            <w:tcW w:w="746" w:type="dxa"/>
            <w:vAlign w:val="center"/>
          </w:tcPr>
          <w:p>
            <w:pPr>
              <w:spacing w:line="360" w:lineRule="auto"/>
              <w:ind w:left="178" w:leftChars="85"/>
              <w:jc w:val="center"/>
              <w:rPr>
                <w:rFonts w:hint="eastAsia" w:ascii="宋体" w:hAnsi="宋体"/>
                <w:color w:val="auto"/>
                <w:sz w:val="18"/>
                <w:szCs w:val="18"/>
              </w:rPr>
            </w:pPr>
            <w:r>
              <w:rPr>
                <w:rFonts w:hint="eastAsia" w:ascii="宋体" w:hAnsi="宋体"/>
                <w:color w:val="auto"/>
                <w:sz w:val="18"/>
                <w:szCs w:val="18"/>
              </w:rPr>
              <w:t>1</w:t>
            </w:r>
          </w:p>
        </w:tc>
        <w:tc>
          <w:tcPr>
            <w:tcW w:w="1682" w:type="dxa"/>
            <w:vAlign w:val="center"/>
          </w:tcPr>
          <w:p>
            <w:pPr>
              <w:spacing w:line="360" w:lineRule="auto"/>
              <w:ind w:left="178" w:leftChars="85"/>
              <w:jc w:val="center"/>
              <w:rPr>
                <w:rFonts w:hint="eastAsia" w:ascii="宋体" w:hAnsi="宋体"/>
                <w:color w:val="auto"/>
                <w:sz w:val="18"/>
                <w:szCs w:val="18"/>
              </w:rPr>
            </w:pPr>
          </w:p>
        </w:tc>
        <w:tc>
          <w:tcPr>
            <w:tcW w:w="1338" w:type="dxa"/>
            <w:vAlign w:val="center"/>
          </w:tcPr>
          <w:p>
            <w:pPr>
              <w:spacing w:line="360" w:lineRule="auto"/>
              <w:ind w:left="178" w:leftChars="85"/>
              <w:jc w:val="center"/>
              <w:rPr>
                <w:rFonts w:hint="eastAsia" w:ascii="宋体" w:hAnsi="宋体"/>
                <w:color w:val="auto"/>
                <w:sz w:val="18"/>
                <w:szCs w:val="18"/>
              </w:rPr>
            </w:pPr>
          </w:p>
        </w:tc>
        <w:tc>
          <w:tcPr>
            <w:tcW w:w="1372" w:type="dxa"/>
            <w:gridSpan w:val="2"/>
            <w:vAlign w:val="center"/>
          </w:tcPr>
          <w:p>
            <w:pPr>
              <w:spacing w:line="360" w:lineRule="auto"/>
              <w:ind w:left="178" w:leftChars="85"/>
              <w:jc w:val="center"/>
              <w:rPr>
                <w:rFonts w:hint="eastAsia" w:ascii="宋体" w:hAnsi="宋体"/>
                <w:color w:val="auto"/>
                <w:sz w:val="18"/>
                <w:szCs w:val="18"/>
              </w:rPr>
            </w:pPr>
          </w:p>
        </w:tc>
        <w:tc>
          <w:tcPr>
            <w:tcW w:w="1430" w:type="dxa"/>
            <w:vAlign w:val="center"/>
          </w:tcPr>
          <w:p>
            <w:pPr>
              <w:spacing w:line="360" w:lineRule="auto"/>
              <w:ind w:left="178" w:leftChars="85"/>
              <w:jc w:val="center"/>
              <w:rPr>
                <w:rFonts w:hint="eastAsia" w:ascii="宋体" w:hAnsi="宋体"/>
                <w:color w:val="auto"/>
                <w:sz w:val="18"/>
                <w:szCs w:val="18"/>
              </w:rPr>
            </w:pPr>
          </w:p>
        </w:tc>
        <w:tc>
          <w:tcPr>
            <w:tcW w:w="1558" w:type="dxa"/>
            <w:vAlign w:val="center"/>
          </w:tcPr>
          <w:p>
            <w:pPr>
              <w:spacing w:line="360" w:lineRule="auto"/>
              <w:ind w:left="178" w:leftChars="85"/>
              <w:jc w:val="center"/>
              <w:rPr>
                <w:rFonts w:hint="eastAsia" w:ascii="宋体" w:hAnsi="宋体"/>
                <w:color w:val="auto"/>
                <w:sz w:val="18"/>
                <w:szCs w:val="18"/>
              </w:rPr>
            </w:pPr>
          </w:p>
        </w:tc>
        <w:tc>
          <w:tcPr>
            <w:tcW w:w="1187" w:type="dxa"/>
            <w:vAlign w:val="center"/>
          </w:tcPr>
          <w:p>
            <w:pPr>
              <w:spacing w:line="360" w:lineRule="auto"/>
              <w:ind w:left="178" w:leftChars="85"/>
              <w:jc w:val="center"/>
              <w:rPr>
                <w:rFonts w:hint="eastAsia" w:ascii="宋体" w:hAnsi="宋体"/>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c>
          <w:tcPr>
            <w:tcW w:w="746" w:type="dxa"/>
            <w:vAlign w:val="center"/>
          </w:tcPr>
          <w:p>
            <w:pPr>
              <w:spacing w:line="360" w:lineRule="auto"/>
              <w:ind w:left="178" w:leftChars="85"/>
              <w:jc w:val="center"/>
              <w:rPr>
                <w:rFonts w:hint="eastAsia" w:ascii="宋体" w:hAnsi="宋体"/>
                <w:color w:val="auto"/>
                <w:sz w:val="18"/>
                <w:szCs w:val="18"/>
              </w:rPr>
            </w:pPr>
            <w:r>
              <w:rPr>
                <w:rFonts w:hint="eastAsia" w:ascii="宋体" w:hAnsi="宋体"/>
                <w:color w:val="auto"/>
                <w:sz w:val="18"/>
                <w:szCs w:val="18"/>
              </w:rPr>
              <w:t>2</w:t>
            </w:r>
          </w:p>
        </w:tc>
        <w:tc>
          <w:tcPr>
            <w:tcW w:w="1682" w:type="dxa"/>
            <w:vAlign w:val="center"/>
          </w:tcPr>
          <w:p>
            <w:pPr>
              <w:spacing w:line="360" w:lineRule="auto"/>
              <w:ind w:left="178" w:leftChars="85"/>
              <w:jc w:val="center"/>
              <w:rPr>
                <w:rFonts w:hint="eastAsia" w:ascii="宋体" w:hAnsi="宋体"/>
                <w:color w:val="auto"/>
                <w:sz w:val="18"/>
                <w:szCs w:val="18"/>
              </w:rPr>
            </w:pPr>
          </w:p>
        </w:tc>
        <w:tc>
          <w:tcPr>
            <w:tcW w:w="1338" w:type="dxa"/>
            <w:vAlign w:val="center"/>
          </w:tcPr>
          <w:p>
            <w:pPr>
              <w:spacing w:line="360" w:lineRule="auto"/>
              <w:ind w:left="178" w:leftChars="85"/>
              <w:jc w:val="center"/>
              <w:rPr>
                <w:rFonts w:hint="eastAsia" w:ascii="宋体" w:hAnsi="宋体"/>
                <w:color w:val="auto"/>
                <w:sz w:val="18"/>
                <w:szCs w:val="18"/>
              </w:rPr>
            </w:pPr>
          </w:p>
        </w:tc>
        <w:tc>
          <w:tcPr>
            <w:tcW w:w="1372" w:type="dxa"/>
            <w:gridSpan w:val="2"/>
            <w:vAlign w:val="center"/>
          </w:tcPr>
          <w:p>
            <w:pPr>
              <w:spacing w:line="360" w:lineRule="auto"/>
              <w:ind w:left="178" w:leftChars="85"/>
              <w:jc w:val="center"/>
              <w:rPr>
                <w:rFonts w:hint="eastAsia" w:ascii="宋体" w:hAnsi="宋体"/>
                <w:color w:val="auto"/>
                <w:sz w:val="18"/>
                <w:szCs w:val="18"/>
              </w:rPr>
            </w:pPr>
          </w:p>
        </w:tc>
        <w:tc>
          <w:tcPr>
            <w:tcW w:w="1430" w:type="dxa"/>
            <w:vAlign w:val="center"/>
          </w:tcPr>
          <w:p>
            <w:pPr>
              <w:spacing w:line="360" w:lineRule="auto"/>
              <w:ind w:left="178" w:leftChars="85"/>
              <w:jc w:val="center"/>
              <w:rPr>
                <w:rFonts w:hint="eastAsia" w:ascii="宋体" w:hAnsi="宋体"/>
                <w:color w:val="auto"/>
                <w:sz w:val="18"/>
                <w:szCs w:val="18"/>
              </w:rPr>
            </w:pPr>
          </w:p>
        </w:tc>
        <w:tc>
          <w:tcPr>
            <w:tcW w:w="1558" w:type="dxa"/>
            <w:vAlign w:val="center"/>
          </w:tcPr>
          <w:p>
            <w:pPr>
              <w:spacing w:line="360" w:lineRule="auto"/>
              <w:ind w:left="178" w:leftChars="85"/>
              <w:jc w:val="center"/>
              <w:rPr>
                <w:rFonts w:hint="eastAsia" w:ascii="宋体" w:hAnsi="宋体"/>
                <w:color w:val="auto"/>
                <w:sz w:val="18"/>
                <w:szCs w:val="18"/>
              </w:rPr>
            </w:pPr>
          </w:p>
        </w:tc>
        <w:tc>
          <w:tcPr>
            <w:tcW w:w="1187" w:type="dxa"/>
            <w:vAlign w:val="center"/>
          </w:tcPr>
          <w:p>
            <w:pPr>
              <w:spacing w:line="360" w:lineRule="auto"/>
              <w:ind w:left="178" w:leftChars="85"/>
              <w:jc w:val="center"/>
              <w:rPr>
                <w:rFonts w:hint="eastAsia" w:ascii="宋体" w:hAnsi="宋体"/>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c>
          <w:tcPr>
            <w:tcW w:w="746" w:type="dxa"/>
            <w:vAlign w:val="center"/>
          </w:tcPr>
          <w:p>
            <w:pPr>
              <w:spacing w:line="360" w:lineRule="auto"/>
              <w:ind w:left="178" w:leftChars="85"/>
              <w:jc w:val="center"/>
              <w:rPr>
                <w:rFonts w:hint="eastAsia" w:ascii="宋体" w:hAnsi="宋体"/>
                <w:color w:val="auto"/>
                <w:sz w:val="18"/>
                <w:szCs w:val="18"/>
              </w:rPr>
            </w:pPr>
            <w:r>
              <w:rPr>
                <w:rFonts w:ascii="宋体" w:hAnsi="宋体"/>
                <w:color w:val="auto"/>
                <w:sz w:val="18"/>
                <w:szCs w:val="18"/>
              </w:rPr>
              <w:t>…</w:t>
            </w:r>
          </w:p>
        </w:tc>
        <w:tc>
          <w:tcPr>
            <w:tcW w:w="1682" w:type="dxa"/>
            <w:vAlign w:val="center"/>
          </w:tcPr>
          <w:p>
            <w:pPr>
              <w:spacing w:line="360" w:lineRule="auto"/>
              <w:ind w:left="178" w:leftChars="85"/>
              <w:jc w:val="center"/>
              <w:rPr>
                <w:rFonts w:hint="eastAsia" w:ascii="宋体" w:hAnsi="宋体"/>
                <w:color w:val="auto"/>
                <w:sz w:val="18"/>
                <w:szCs w:val="18"/>
              </w:rPr>
            </w:pPr>
          </w:p>
        </w:tc>
        <w:tc>
          <w:tcPr>
            <w:tcW w:w="1338" w:type="dxa"/>
            <w:vAlign w:val="center"/>
          </w:tcPr>
          <w:p>
            <w:pPr>
              <w:spacing w:line="360" w:lineRule="auto"/>
              <w:ind w:left="178" w:leftChars="85"/>
              <w:jc w:val="center"/>
              <w:rPr>
                <w:rFonts w:hint="eastAsia" w:ascii="宋体" w:hAnsi="宋体"/>
                <w:color w:val="auto"/>
                <w:sz w:val="18"/>
                <w:szCs w:val="18"/>
              </w:rPr>
            </w:pPr>
          </w:p>
        </w:tc>
        <w:tc>
          <w:tcPr>
            <w:tcW w:w="1372" w:type="dxa"/>
            <w:gridSpan w:val="2"/>
            <w:vAlign w:val="center"/>
          </w:tcPr>
          <w:p>
            <w:pPr>
              <w:spacing w:line="360" w:lineRule="auto"/>
              <w:ind w:left="178" w:leftChars="85"/>
              <w:jc w:val="center"/>
              <w:rPr>
                <w:rFonts w:hint="eastAsia" w:ascii="宋体" w:hAnsi="宋体"/>
                <w:color w:val="auto"/>
                <w:sz w:val="18"/>
                <w:szCs w:val="18"/>
              </w:rPr>
            </w:pPr>
          </w:p>
        </w:tc>
        <w:tc>
          <w:tcPr>
            <w:tcW w:w="1430" w:type="dxa"/>
            <w:vAlign w:val="center"/>
          </w:tcPr>
          <w:p>
            <w:pPr>
              <w:spacing w:line="360" w:lineRule="auto"/>
              <w:ind w:left="178" w:leftChars="85"/>
              <w:jc w:val="center"/>
              <w:rPr>
                <w:rFonts w:hint="eastAsia" w:ascii="宋体" w:hAnsi="宋体"/>
                <w:color w:val="auto"/>
                <w:sz w:val="18"/>
                <w:szCs w:val="18"/>
              </w:rPr>
            </w:pPr>
          </w:p>
        </w:tc>
        <w:tc>
          <w:tcPr>
            <w:tcW w:w="1558" w:type="dxa"/>
            <w:vAlign w:val="center"/>
          </w:tcPr>
          <w:p>
            <w:pPr>
              <w:spacing w:line="360" w:lineRule="auto"/>
              <w:ind w:left="178" w:leftChars="85"/>
              <w:jc w:val="center"/>
              <w:rPr>
                <w:rFonts w:hint="eastAsia" w:ascii="宋体" w:hAnsi="宋体"/>
                <w:color w:val="auto"/>
                <w:sz w:val="18"/>
                <w:szCs w:val="18"/>
              </w:rPr>
            </w:pPr>
          </w:p>
        </w:tc>
        <w:tc>
          <w:tcPr>
            <w:tcW w:w="1187" w:type="dxa"/>
            <w:vAlign w:val="center"/>
          </w:tcPr>
          <w:p>
            <w:pPr>
              <w:spacing w:line="360" w:lineRule="auto"/>
              <w:ind w:left="178" w:leftChars="85"/>
              <w:jc w:val="center"/>
              <w:rPr>
                <w:rFonts w:hint="eastAsia" w:ascii="宋体" w:hAnsi="宋体"/>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c>
          <w:tcPr>
            <w:tcW w:w="9313" w:type="dxa"/>
            <w:gridSpan w:val="8"/>
            <w:vAlign w:val="center"/>
          </w:tcPr>
          <w:p>
            <w:pPr>
              <w:spacing w:line="360" w:lineRule="auto"/>
              <w:ind w:left="178" w:leftChars="85"/>
              <w:rPr>
                <w:rFonts w:hint="eastAsia" w:ascii="宋体" w:hAnsi="宋体"/>
                <w:color w:val="auto"/>
                <w:sz w:val="18"/>
                <w:szCs w:val="18"/>
              </w:rPr>
            </w:pPr>
            <w:r>
              <w:rPr>
                <w:rFonts w:hint="eastAsia" w:ascii="宋体" w:hAnsi="宋体"/>
                <w:color w:val="auto"/>
                <w:sz w:val="18"/>
                <w:szCs w:val="18"/>
              </w:rPr>
              <w:t>合计：2015～2017年编审业绩总额</w:t>
            </w:r>
            <w:r>
              <w:rPr>
                <w:rFonts w:hint="eastAsia" w:ascii="宋体" w:hAnsi="宋体"/>
                <w:color w:val="auto"/>
                <w:sz w:val="18"/>
                <w:szCs w:val="18"/>
                <w:u w:val="single"/>
              </w:rPr>
              <w:t xml:space="preserve">       </w:t>
            </w:r>
            <w:r>
              <w:rPr>
                <w:rFonts w:hint="eastAsia" w:ascii="宋体" w:hAnsi="宋体"/>
                <w:color w:val="auto"/>
                <w:sz w:val="18"/>
                <w:szCs w:val="18"/>
              </w:rPr>
              <w:t>元，审核费总额</w:t>
            </w:r>
            <w:r>
              <w:rPr>
                <w:rFonts w:hint="eastAsia" w:ascii="宋体" w:hAnsi="宋体"/>
                <w:color w:val="auto"/>
                <w:sz w:val="18"/>
                <w:szCs w:val="18"/>
                <w:u w:val="single"/>
              </w:rPr>
              <w:t xml:space="preserve">       </w:t>
            </w:r>
            <w:r>
              <w:rPr>
                <w:rFonts w:hint="eastAsia" w:ascii="宋体" w:hAnsi="宋体"/>
                <w:color w:val="auto"/>
                <w:sz w:val="18"/>
                <w:szCs w:val="18"/>
              </w:rPr>
              <w:t>元。</w:t>
            </w: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c>
          <w:tcPr>
            <w:tcW w:w="9313" w:type="dxa"/>
            <w:gridSpan w:val="8"/>
            <w:vAlign w:val="center"/>
          </w:tcPr>
          <w:p>
            <w:pPr>
              <w:spacing w:line="360" w:lineRule="auto"/>
              <w:ind w:left="178" w:leftChars="85"/>
              <w:jc w:val="center"/>
              <w:rPr>
                <w:rFonts w:hint="eastAsia" w:ascii="宋体" w:hAnsi="宋体"/>
                <w:color w:val="auto"/>
                <w:sz w:val="18"/>
                <w:szCs w:val="18"/>
              </w:rPr>
            </w:pPr>
            <w:r>
              <w:rPr>
                <w:rFonts w:hint="eastAsia" w:ascii="宋体" w:hAnsi="宋体"/>
                <w:color w:val="auto"/>
                <w:sz w:val="18"/>
                <w:szCs w:val="18"/>
              </w:rPr>
              <w:t>承接政府投资工程项目审核工作业绩</w:t>
            </w: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c>
          <w:tcPr>
            <w:tcW w:w="746" w:type="dxa"/>
            <w:vAlign w:val="center"/>
          </w:tcPr>
          <w:p>
            <w:pPr>
              <w:spacing w:line="360" w:lineRule="auto"/>
              <w:ind w:left="178" w:leftChars="85"/>
              <w:jc w:val="center"/>
              <w:rPr>
                <w:rFonts w:hint="eastAsia" w:ascii="宋体" w:hAnsi="宋体"/>
                <w:color w:val="auto"/>
                <w:sz w:val="18"/>
                <w:szCs w:val="18"/>
              </w:rPr>
            </w:pPr>
            <w:r>
              <w:rPr>
                <w:rFonts w:hint="eastAsia" w:ascii="宋体" w:hAnsi="宋体"/>
                <w:color w:val="auto"/>
                <w:sz w:val="18"/>
                <w:szCs w:val="18"/>
              </w:rPr>
              <w:t>1</w:t>
            </w:r>
          </w:p>
        </w:tc>
        <w:tc>
          <w:tcPr>
            <w:tcW w:w="1682" w:type="dxa"/>
            <w:vAlign w:val="center"/>
          </w:tcPr>
          <w:p>
            <w:pPr>
              <w:spacing w:line="360" w:lineRule="auto"/>
              <w:ind w:left="178" w:leftChars="85"/>
              <w:jc w:val="center"/>
              <w:rPr>
                <w:rFonts w:hint="eastAsia" w:ascii="宋体" w:hAnsi="宋体"/>
                <w:color w:val="auto"/>
                <w:sz w:val="18"/>
                <w:szCs w:val="18"/>
              </w:rPr>
            </w:pPr>
          </w:p>
        </w:tc>
        <w:tc>
          <w:tcPr>
            <w:tcW w:w="1338" w:type="dxa"/>
            <w:vAlign w:val="center"/>
          </w:tcPr>
          <w:p>
            <w:pPr>
              <w:spacing w:line="360" w:lineRule="auto"/>
              <w:ind w:left="178" w:leftChars="85"/>
              <w:jc w:val="center"/>
              <w:rPr>
                <w:rFonts w:hint="eastAsia" w:ascii="宋体" w:hAnsi="宋体"/>
                <w:color w:val="auto"/>
                <w:sz w:val="18"/>
                <w:szCs w:val="18"/>
              </w:rPr>
            </w:pPr>
          </w:p>
        </w:tc>
        <w:tc>
          <w:tcPr>
            <w:tcW w:w="1372" w:type="dxa"/>
            <w:gridSpan w:val="2"/>
            <w:vAlign w:val="center"/>
          </w:tcPr>
          <w:p>
            <w:pPr>
              <w:spacing w:line="360" w:lineRule="auto"/>
              <w:ind w:left="178" w:leftChars="85"/>
              <w:jc w:val="center"/>
              <w:rPr>
                <w:rFonts w:hint="eastAsia" w:ascii="宋体" w:hAnsi="宋体"/>
                <w:color w:val="auto"/>
                <w:sz w:val="18"/>
                <w:szCs w:val="18"/>
              </w:rPr>
            </w:pPr>
          </w:p>
        </w:tc>
        <w:tc>
          <w:tcPr>
            <w:tcW w:w="1430" w:type="dxa"/>
            <w:vAlign w:val="center"/>
          </w:tcPr>
          <w:p>
            <w:pPr>
              <w:spacing w:line="360" w:lineRule="auto"/>
              <w:ind w:left="178" w:leftChars="85"/>
              <w:jc w:val="center"/>
              <w:rPr>
                <w:rFonts w:hint="eastAsia" w:ascii="宋体" w:hAnsi="宋体"/>
                <w:color w:val="auto"/>
                <w:sz w:val="18"/>
                <w:szCs w:val="18"/>
              </w:rPr>
            </w:pPr>
          </w:p>
        </w:tc>
        <w:tc>
          <w:tcPr>
            <w:tcW w:w="1558" w:type="dxa"/>
            <w:vAlign w:val="center"/>
          </w:tcPr>
          <w:p>
            <w:pPr>
              <w:spacing w:line="360" w:lineRule="auto"/>
              <w:ind w:left="178" w:leftChars="85"/>
              <w:jc w:val="center"/>
              <w:rPr>
                <w:rFonts w:hint="eastAsia" w:ascii="宋体" w:hAnsi="宋体"/>
                <w:color w:val="auto"/>
                <w:sz w:val="18"/>
                <w:szCs w:val="18"/>
              </w:rPr>
            </w:pPr>
          </w:p>
        </w:tc>
        <w:tc>
          <w:tcPr>
            <w:tcW w:w="1187" w:type="dxa"/>
            <w:vAlign w:val="center"/>
          </w:tcPr>
          <w:p>
            <w:pPr>
              <w:spacing w:line="360" w:lineRule="auto"/>
              <w:ind w:left="178" w:leftChars="85"/>
              <w:jc w:val="center"/>
              <w:rPr>
                <w:rFonts w:hint="eastAsia" w:ascii="宋体" w:hAnsi="宋体"/>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c>
          <w:tcPr>
            <w:tcW w:w="746" w:type="dxa"/>
            <w:vAlign w:val="center"/>
          </w:tcPr>
          <w:p>
            <w:pPr>
              <w:spacing w:line="360" w:lineRule="auto"/>
              <w:ind w:left="178" w:leftChars="85"/>
              <w:jc w:val="center"/>
              <w:rPr>
                <w:rFonts w:hint="eastAsia" w:ascii="宋体" w:hAnsi="宋体"/>
                <w:color w:val="auto"/>
                <w:sz w:val="18"/>
                <w:szCs w:val="18"/>
              </w:rPr>
            </w:pPr>
            <w:r>
              <w:rPr>
                <w:rFonts w:hint="eastAsia" w:ascii="宋体" w:hAnsi="宋体"/>
                <w:color w:val="auto"/>
                <w:sz w:val="18"/>
                <w:szCs w:val="18"/>
              </w:rPr>
              <w:t>2</w:t>
            </w:r>
          </w:p>
        </w:tc>
        <w:tc>
          <w:tcPr>
            <w:tcW w:w="1682" w:type="dxa"/>
            <w:vAlign w:val="center"/>
          </w:tcPr>
          <w:p>
            <w:pPr>
              <w:spacing w:line="360" w:lineRule="auto"/>
              <w:ind w:left="178" w:leftChars="85"/>
              <w:jc w:val="center"/>
              <w:rPr>
                <w:rFonts w:hint="eastAsia" w:ascii="宋体" w:hAnsi="宋体"/>
                <w:color w:val="auto"/>
                <w:sz w:val="18"/>
                <w:szCs w:val="18"/>
              </w:rPr>
            </w:pPr>
          </w:p>
        </w:tc>
        <w:tc>
          <w:tcPr>
            <w:tcW w:w="1338" w:type="dxa"/>
            <w:vAlign w:val="center"/>
          </w:tcPr>
          <w:p>
            <w:pPr>
              <w:spacing w:line="360" w:lineRule="auto"/>
              <w:ind w:left="178" w:leftChars="85"/>
              <w:jc w:val="center"/>
              <w:rPr>
                <w:rFonts w:hint="eastAsia" w:ascii="宋体" w:hAnsi="宋体"/>
                <w:color w:val="auto"/>
                <w:sz w:val="18"/>
                <w:szCs w:val="18"/>
              </w:rPr>
            </w:pPr>
          </w:p>
        </w:tc>
        <w:tc>
          <w:tcPr>
            <w:tcW w:w="1372" w:type="dxa"/>
            <w:gridSpan w:val="2"/>
            <w:vAlign w:val="center"/>
          </w:tcPr>
          <w:p>
            <w:pPr>
              <w:spacing w:line="360" w:lineRule="auto"/>
              <w:ind w:left="178" w:leftChars="85"/>
              <w:jc w:val="center"/>
              <w:rPr>
                <w:rFonts w:hint="eastAsia" w:ascii="宋体" w:hAnsi="宋体"/>
                <w:color w:val="auto"/>
                <w:sz w:val="18"/>
                <w:szCs w:val="18"/>
              </w:rPr>
            </w:pPr>
          </w:p>
        </w:tc>
        <w:tc>
          <w:tcPr>
            <w:tcW w:w="1430" w:type="dxa"/>
            <w:vAlign w:val="center"/>
          </w:tcPr>
          <w:p>
            <w:pPr>
              <w:spacing w:line="360" w:lineRule="auto"/>
              <w:ind w:left="178" w:leftChars="85"/>
              <w:jc w:val="center"/>
              <w:rPr>
                <w:rFonts w:hint="eastAsia" w:ascii="宋体" w:hAnsi="宋体"/>
                <w:color w:val="auto"/>
                <w:sz w:val="18"/>
                <w:szCs w:val="18"/>
              </w:rPr>
            </w:pPr>
          </w:p>
        </w:tc>
        <w:tc>
          <w:tcPr>
            <w:tcW w:w="1558" w:type="dxa"/>
            <w:vAlign w:val="center"/>
          </w:tcPr>
          <w:p>
            <w:pPr>
              <w:spacing w:line="360" w:lineRule="auto"/>
              <w:ind w:left="178" w:leftChars="85"/>
              <w:jc w:val="center"/>
              <w:rPr>
                <w:rFonts w:hint="eastAsia" w:ascii="宋体" w:hAnsi="宋体"/>
                <w:color w:val="auto"/>
                <w:sz w:val="18"/>
                <w:szCs w:val="18"/>
              </w:rPr>
            </w:pPr>
          </w:p>
        </w:tc>
        <w:tc>
          <w:tcPr>
            <w:tcW w:w="1187" w:type="dxa"/>
            <w:vAlign w:val="center"/>
          </w:tcPr>
          <w:p>
            <w:pPr>
              <w:spacing w:line="360" w:lineRule="auto"/>
              <w:ind w:left="178" w:leftChars="85"/>
              <w:jc w:val="center"/>
              <w:rPr>
                <w:rFonts w:hint="eastAsia" w:ascii="宋体" w:hAnsi="宋体"/>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c>
          <w:tcPr>
            <w:tcW w:w="746" w:type="dxa"/>
            <w:vAlign w:val="center"/>
          </w:tcPr>
          <w:p>
            <w:pPr>
              <w:spacing w:line="360" w:lineRule="auto"/>
              <w:ind w:left="178" w:leftChars="85"/>
              <w:jc w:val="center"/>
              <w:rPr>
                <w:rFonts w:hint="eastAsia" w:ascii="宋体" w:hAnsi="宋体"/>
                <w:color w:val="auto"/>
                <w:sz w:val="18"/>
                <w:szCs w:val="18"/>
              </w:rPr>
            </w:pPr>
            <w:r>
              <w:rPr>
                <w:rFonts w:ascii="宋体" w:hAnsi="宋体"/>
                <w:color w:val="auto"/>
                <w:sz w:val="18"/>
                <w:szCs w:val="18"/>
              </w:rPr>
              <w:t>…</w:t>
            </w:r>
          </w:p>
        </w:tc>
        <w:tc>
          <w:tcPr>
            <w:tcW w:w="1682" w:type="dxa"/>
            <w:vAlign w:val="center"/>
          </w:tcPr>
          <w:p>
            <w:pPr>
              <w:spacing w:line="360" w:lineRule="auto"/>
              <w:ind w:left="178" w:leftChars="85"/>
              <w:jc w:val="center"/>
              <w:rPr>
                <w:rFonts w:hint="eastAsia" w:ascii="宋体" w:hAnsi="宋体"/>
                <w:color w:val="auto"/>
                <w:sz w:val="18"/>
                <w:szCs w:val="18"/>
              </w:rPr>
            </w:pPr>
          </w:p>
        </w:tc>
        <w:tc>
          <w:tcPr>
            <w:tcW w:w="1338" w:type="dxa"/>
            <w:vAlign w:val="center"/>
          </w:tcPr>
          <w:p>
            <w:pPr>
              <w:spacing w:line="360" w:lineRule="auto"/>
              <w:ind w:left="178" w:leftChars="85"/>
              <w:jc w:val="center"/>
              <w:rPr>
                <w:rFonts w:hint="eastAsia" w:ascii="宋体" w:hAnsi="宋体"/>
                <w:color w:val="auto"/>
                <w:sz w:val="18"/>
                <w:szCs w:val="18"/>
              </w:rPr>
            </w:pPr>
          </w:p>
        </w:tc>
        <w:tc>
          <w:tcPr>
            <w:tcW w:w="1372" w:type="dxa"/>
            <w:gridSpan w:val="2"/>
            <w:vAlign w:val="center"/>
          </w:tcPr>
          <w:p>
            <w:pPr>
              <w:spacing w:line="360" w:lineRule="auto"/>
              <w:ind w:left="178" w:leftChars="85"/>
              <w:jc w:val="center"/>
              <w:rPr>
                <w:rFonts w:hint="eastAsia" w:ascii="宋体" w:hAnsi="宋体"/>
                <w:color w:val="auto"/>
                <w:sz w:val="18"/>
                <w:szCs w:val="18"/>
              </w:rPr>
            </w:pPr>
          </w:p>
        </w:tc>
        <w:tc>
          <w:tcPr>
            <w:tcW w:w="1430" w:type="dxa"/>
            <w:vAlign w:val="center"/>
          </w:tcPr>
          <w:p>
            <w:pPr>
              <w:spacing w:line="360" w:lineRule="auto"/>
              <w:ind w:left="178" w:leftChars="85"/>
              <w:jc w:val="center"/>
              <w:rPr>
                <w:rFonts w:hint="eastAsia" w:ascii="宋体" w:hAnsi="宋体"/>
                <w:color w:val="auto"/>
                <w:sz w:val="18"/>
                <w:szCs w:val="18"/>
              </w:rPr>
            </w:pPr>
          </w:p>
        </w:tc>
        <w:tc>
          <w:tcPr>
            <w:tcW w:w="1558" w:type="dxa"/>
            <w:vAlign w:val="center"/>
          </w:tcPr>
          <w:p>
            <w:pPr>
              <w:spacing w:line="360" w:lineRule="auto"/>
              <w:ind w:left="178" w:leftChars="85"/>
              <w:jc w:val="center"/>
              <w:rPr>
                <w:rFonts w:hint="eastAsia" w:ascii="宋体" w:hAnsi="宋体"/>
                <w:color w:val="auto"/>
                <w:sz w:val="18"/>
                <w:szCs w:val="18"/>
              </w:rPr>
            </w:pPr>
          </w:p>
        </w:tc>
        <w:tc>
          <w:tcPr>
            <w:tcW w:w="1187" w:type="dxa"/>
            <w:vAlign w:val="center"/>
          </w:tcPr>
          <w:p>
            <w:pPr>
              <w:spacing w:line="360" w:lineRule="auto"/>
              <w:ind w:left="178" w:leftChars="85"/>
              <w:jc w:val="center"/>
              <w:rPr>
                <w:rFonts w:hint="eastAsia" w:ascii="宋体" w:hAnsi="宋体"/>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c>
          <w:tcPr>
            <w:tcW w:w="9313" w:type="dxa"/>
            <w:gridSpan w:val="8"/>
            <w:vAlign w:val="center"/>
          </w:tcPr>
          <w:p>
            <w:pPr>
              <w:spacing w:line="360" w:lineRule="auto"/>
              <w:ind w:left="178" w:leftChars="85"/>
              <w:rPr>
                <w:rFonts w:hint="eastAsia" w:ascii="宋体" w:hAnsi="宋体"/>
                <w:color w:val="auto"/>
                <w:sz w:val="18"/>
                <w:szCs w:val="18"/>
              </w:rPr>
            </w:pPr>
            <w:r>
              <w:rPr>
                <w:rFonts w:hint="eastAsia" w:ascii="宋体" w:hAnsi="宋体"/>
                <w:color w:val="auto"/>
                <w:sz w:val="18"/>
                <w:szCs w:val="18"/>
              </w:rPr>
              <w:t>合计：2015～2017年承接政府投资工程项目审核业绩总额</w:t>
            </w:r>
            <w:r>
              <w:rPr>
                <w:rFonts w:hint="eastAsia" w:ascii="宋体" w:hAnsi="宋体"/>
                <w:color w:val="auto"/>
                <w:sz w:val="18"/>
                <w:szCs w:val="18"/>
                <w:u w:val="single"/>
              </w:rPr>
              <w:t xml:space="preserve">    </w:t>
            </w:r>
            <w:r>
              <w:rPr>
                <w:rFonts w:hint="eastAsia" w:ascii="宋体" w:hAnsi="宋体"/>
                <w:color w:val="auto"/>
                <w:sz w:val="18"/>
                <w:szCs w:val="18"/>
              </w:rPr>
              <w:t>元，审核费总</w:t>
            </w:r>
          </w:p>
          <w:p>
            <w:pPr>
              <w:spacing w:line="360" w:lineRule="auto"/>
              <w:ind w:left="178" w:leftChars="85"/>
              <w:rPr>
                <w:rFonts w:hint="eastAsia" w:ascii="宋体" w:hAnsi="宋体"/>
                <w:color w:val="auto"/>
                <w:sz w:val="18"/>
                <w:szCs w:val="18"/>
              </w:rPr>
            </w:pPr>
            <w:r>
              <w:rPr>
                <w:rFonts w:hint="eastAsia" w:ascii="宋体" w:hAnsi="宋体"/>
                <w:color w:val="auto"/>
                <w:sz w:val="18"/>
                <w:szCs w:val="18"/>
              </w:rPr>
              <w:t>额</w:t>
            </w:r>
            <w:r>
              <w:rPr>
                <w:rFonts w:hint="eastAsia" w:ascii="宋体" w:hAnsi="宋体"/>
                <w:color w:val="auto"/>
                <w:sz w:val="18"/>
                <w:szCs w:val="18"/>
                <w:u w:val="single"/>
              </w:rPr>
              <w:t xml:space="preserve">    </w:t>
            </w:r>
            <w:r>
              <w:rPr>
                <w:rFonts w:hint="eastAsia" w:ascii="宋体" w:hAnsi="宋体"/>
                <w:color w:val="auto"/>
                <w:sz w:val="18"/>
                <w:szCs w:val="18"/>
              </w:rPr>
              <w:t>元。</w:t>
            </w: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c>
          <w:tcPr>
            <w:tcW w:w="9313" w:type="dxa"/>
            <w:gridSpan w:val="8"/>
            <w:vAlign w:val="center"/>
          </w:tcPr>
          <w:p>
            <w:pPr>
              <w:spacing w:line="360" w:lineRule="auto"/>
              <w:ind w:left="178" w:leftChars="85"/>
              <w:jc w:val="center"/>
              <w:rPr>
                <w:rFonts w:hint="eastAsia" w:ascii="宋体" w:hAnsi="宋体"/>
                <w:color w:val="auto"/>
                <w:sz w:val="18"/>
                <w:szCs w:val="18"/>
              </w:rPr>
            </w:pPr>
            <w:r>
              <w:rPr>
                <w:rFonts w:hint="eastAsia" w:ascii="宋体" w:hAnsi="宋体"/>
                <w:color w:val="auto"/>
                <w:sz w:val="18"/>
                <w:szCs w:val="18"/>
              </w:rPr>
              <w:t>已完成的大型项目编审业绩</w:t>
            </w: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c>
          <w:tcPr>
            <w:tcW w:w="746" w:type="dxa"/>
            <w:vAlign w:val="center"/>
          </w:tcPr>
          <w:p>
            <w:pPr>
              <w:spacing w:line="360" w:lineRule="auto"/>
              <w:ind w:left="178" w:leftChars="85"/>
              <w:jc w:val="center"/>
              <w:rPr>
                <w:rFonts w:hint="eastAsia" w:ascii="宋体" w:hAnsi="宋体"/>
                <w:color w:val="auto"/>
                <w:sz w:val="18"/>
                <w:szCs w:val="18"/>
              </w:rPr>
            </w:pPr>
            <w:r>
              <w:rPr>
                <w:rFonts w:hint="eastAsia" w:ascii="宋体" w:hAnsi="宋体"/>
                <w:color w:val="auto"/>
                <w:sz w:val="18"/>
                <w:szCs w:val="18"/>
              </w:rPr>
              <w:t>1</w:t>
            </w:r>
          </w:p>
        </w:tc>
        <w:tc>
          <w:tcPr>
            <w:tcW w:w="1682" w:type="dxa"/>
            <w:vAlign w:val="center"/>
          </w:tcPr>
          <w:p>
            <w:pPr>
              <w:spacing w:line="360" w:lineRule="auto"/>
              <w:ind w:left="178" w:leftChars="85"/>
              <w:jc w:val="center"/>
              <w:rPr>
                <w:rFonts w:hint="eastAsia" w:ascii="宋体" w:hAnsi="宋体"/>
                <w:color w:val="auto"/>
                <w:sz w:val="18"/>
                <w:szCs w:val="18"/>
              </w:rPr>
            </w:pPr>
          </w:p>
        </w:tc>
        <w:tc>
          <w:tcPr>
            <w:tcW w:w="1338" w:type="dxa"/>
            <w:vAlign w:val="center"/>
          </w:tcPr>
          <w:p>
            <w:pPr>
              <w:spacing w:line="360" w:lineRule="auto"/>
              <w:ind w:left="178" w:leftChars="85"/>
              <w:jc w:val="center"/>
              <w:rPr>
                <w:rFonts w:hint="eastAsia" w:ascii="宋体" w:hAnsi="宋体"/>
                <w:color w:val="auto"/>
                <w:sz w:val="18"/>
                <w:szCs w:val="18"/>
              </w:rPr>
            </w:pPr>
          </w:p>
        </w:tc>
        <w:tc>
          <w:tcPr>
            <w:tcW w:w="1372" w:type="dxa"/>
            <w:gridSpan w:val="2"/>
            <w:vAlign w:val="center"/>
          </w:tcPr>
          <w:p>
            <w:pPr>
              <w:spacing w:line="360" w:lineRule="auto"/>
              <w:ind w:left="178" w:leftChars="85"/>
              <w:jc w:val="center"/>
              <w:rPr>
                <w:rFonts w:hint="eastAsia" w:ascii="宋体" w:hAnsi="宋体"/>
                <w:color w:val="auto"/>
                <w:sz w:val="18"/>
                <w:szCs w:val="18"/>
              </w:rPr>
            </w:pPr>
          </w:p>
        </w:tc>
        <w:tc>
          <w:tcPr>
            <w:tcW w:w="1430" w:type="dxa"/>
            <w:vAlign w:val="center"/>
          </w:tcPr>
          <w:p>
            <w:pPr>
              <w:spacing w:line="360" w:lineRule="auto"/>
              <w:ind w:left="178" w:leftChars="85"/>
              <w:jc w:val="center"/>
              <w:rPr>
                <w:rFonts w:hint="eastAsia" w:ascii="宋体" w:hAnsi="宋体"/>
                <w:color w:val="auto"/>
                <w:sz w:val="18"/>
                <w:szCs w:val="18"/>
              </w:rPr>
            </w:pPr>
          </w:p>
        </w:tc>
        <w:tc>
          <w:tcPr>
            <w:tcW w:w="1558" w:type="dxa"/>
            <w:vAlign w:val="center"/>
          </w:tcPr>
          <w:p>
            <w:pPr>
              <w:spacing w:line="360" w:lineRule="auto"/>
              <w:ind w:left="178" w:leftChars="85"/>
              <w:jc w:val="center"/>
              <w:rPr>
                <w:rFonts w:hint="eastAsia" w:ascii="宋体" w:hAnsi="宋体"/>
                <w:color w:val="auto"/>
                <w:sz w:val="18"/>
                <w:szCs w:val="18"/>
              </w:rPr>
            </w:pPr>
          </w:p>
        </w:tc>
        <w:tc>
          <w:tcPr>
            <w:tcW w:w="1187" w:type="dxa"/>
            <w:vAlign w:val="center"/>
          </w:tcPr>
          <w:p>
            <w:pPr>
              <w:spacing w:line="360" w:lineRule="auto"/>
              <w:ind w:left="178" w:leftChars="85"/>
              <w:jc w:val="center"/>
              <w:rPr>
                <w:rFonts w:hint="eastAsia" w:ascii="宋体" w:hAnsi="宋体"/>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c>
          <w:tcPr>
            <w:tcW w:w="746" w:type="dxa"/>
            <w:vAlign w:val="center"/>
          </w:tcPr>
          <w:p>
            <w:pPr>
              <w:spacing w:line="360" w:lineRule="auto"/>
              <w:ind w:left="178" w:leftChars="85"/>
              <w:jc w:val="center"/>
              <w:rPr>
                <w:rFonts w:hint="eastAsia" w:ascii="宋体" w:hAnsi="宋体"/>
                <w:color w:val="auto"/>
                <w:sz w:val="18"/>
                <w:szCs w:val="18"/>
              </w:rPr>
            </w:pPr>
            <w:r>
              <w:rPr>
                <w:rFonts w:hint="eastAsia" w:ascii="宋体" w:hAnsi="宋体"/>
                <w:color w:val="auto"/>
                <w:sz w:val="18"/>
                <w:szCs w:val="18"/>
              </w:rPr>
              <w:t>2</w:t>
            </w:r>
          </w:p>
        </w:tc>
        <w:tc>
          <w:tcPr>
            <w:tcW w:w="1682" w:type="dxa"/>
            <w:vAlign w:val="center"/>
          </w:tcPr>
          <w:p>
            <w:pPr>
              <w:spacing w:line="360" w:lineRule="auto"/>
              <w:ind w:left="178" w:leftChars="85"/>
              <w:jc w:val="center"/>
              <w:rPr>
                <w:rFonts w:hint="eastAsia" w:ascii="宋体" w:hAnsi="宋体"/>
                <w:color w:val="auto"/>
                <w:sz w:val="18"/>
                <w:szCs w:val="18"/>
              </w:rPr>
            </w:pPr>
          </w:p>
        </w:tc>
        <w:tc>
          <w:tcPr>
            <w:tcW w:w="1338" w:type="dxa"/>
            <w:vAlign w:val="center"/>
          </w:tcPr>
          <w:p>
            <w:pPr>
              <w:spacing w:line="360" w:lineRule="auto"/>
              <w:ind w:left="178" w:leftChars="85"/>
              <w:jc w:val="center"/>
              <w:rPr>
                <w:rFonts w:hint="eastAsia" w:ascii="宋体" w:hAnsi="宋体"/>
                <w:color w:val="auto"/>
                <w:sz w:val="18"/>
                <w:szCs w:val="18"/>
              </w:rPr>
            </w:pPr>
          </w:p>
        </w:tc>
        <w:tc>
          <w:tcPr>
            <w:tcW w:w="1372" w:type="dxa"/>
            <w:gridSpan w:val="2"/>
            <w:vAlign w:val="center"/>
          </w:tcPr>
          <w:p>
            <w:pPr>
              <w:spacing w:line="360" w:lineRule="auto"/>
              <w:ind w:left="178" w:leftChars="85"/>
              <w:jc w:val="center"/>
              <w:rPr>
                <w:rFonts w:hint="eastAsia" w:ascii="宋体" w:hAnsi="宋体"/>
                <w:color w:val="auto"/>
                <w:sz w:val="18"/>
                <w:szCs w:val="18"/>
              </w:rPr>
            </w:pPr>
          </w:p>
        </w:tc>
        <w:tc>
          <w:tcPr>
            <w:tcW w:w="1430" w:type="dxa"/>
            <w:vAlign w:val="center"/>
          </w:tcPr>
          <w:p>
            <w:pPr>
              <w:spacing w:line="360" w:lineRule="auto"/>
              <w:ind w:left="178" w:leftChars="85"/>
              <w:jc w:val="center"/>
              <w:rPr>
                <w:rFonts w:hint="eastAsia" w:ascii="宋体" w:hAnsi="宋体"/>
                <w:color w:val="auto"/>
                <w:sz w:val="18"/>
                <w:szCs w:val="18"/>
              </w:rPr>
            </w:pPr>
          </w:p>
        </w:tc>
        <w:tc>
          <w:tcPr>
            <w:tcW w:w="1558" w:type="dxa"/>
            <w:vAlign w:val="center"/>
          </w:tcPr>
          <w:p>
            <w:pPr>
              <w:spacing w:line="360" w:lineRule="auto"/>
              <w:ind w:left="178" w:leftChars="85"/>
              <w:jc w:val="center"/>
              <w:rPr>
                <w:rFonts w:hint="eastAsia" w:ascii="宋体" w:hAnsi="宋体"/>
                <w:color w:val="auto"/>
                <w:sz w:val="18"/>
                <w:szCs w:val="18"/>
              </w:rPr>
            </w:pPr>
          </w:p>
        </w:tc>
        <w:tc>
          <w:tcPr>
            <w:tcW w:w="1187" w:type="dxa"/>
            <w:vAlign w:val="center"/>
          </w:tcPr>
          <w:p>
            <w:pPr>
              <w:spacing w:line="360" w:lineRule="auto"/>
              <w:ind w:left="178" w:leftChars="85"/>
              <w:jc w:val="center"/>
              <w:rPr>
                <w:rFonts w:hint="eastAsia" w:ascii="宋体" w:hAnsi="宋体"/>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c>
          <w:tcPr>
            <w:tcW w:w="746" w:type="dxa"/>
            <w:vAlign w:val="center"/>
          </w:tcPr>
          <w:p>
            <w:pPr>
              <w:spacing w:line="360" w:lineRule="auto"/>
              <w:ind w:left="178" w:leftChars="85"/>
              <w:jc w:val="center"/>
              <w:rPr>
                <w:rFonts w:hint="eastAsia" w:ascii="宋体" w:hAnsi="宋体"/>
                <w:color w:val="auto"/>
                <w:sz w:val="18"/>
                <w:szCs w:val="18"/>
              </w:rPr>
            </w:pPr>
            <w:r>
              <w:rPr>
                <w:rFonts w:ascii="宋体" w:hAnsi="宋体"/>
                <w:color w:val="auto"/>
                <w:sz w:val="18"/>
                <w:szCs w:val="18"/>
              </w:rPr>
              <w:t>…</w:t>
            </w:r>
          </w:p>
        </w:tc>
        <w:tc>
          <w:tcPr>
            <w:tcW w:w="1682" w:type="dxa"/>
            <w:vAlign w:val="center"/>
          </w:tcPr>
          <w:p>
            <w:pPr>
              <w:spacing w:line="360" w:lineRule="auto"/>
              <w:ind w:left="178" w:leftChars="85"/>
              <w:jc w:val="center"/>
              <w:rPr>
                <w:rFonts w:hint="eastAsia" w:ascii="宋体" w:hAnsi="宋体"/>
                <w:color w:val="auto"/>
                <w:sz w:val="18"/>
                <w:szCs w:val="18"/>
              </w:rPr>
            </w:pPr>
          </w:p>
        </w:tc>
        <w:tc>
          <w:tcPr>
            <w:tcW w:w="1338" w:type="dxa"/>
            <w:vAlign w:val="center"/>
          </w:tcPr>
          <w:p>
            <w:pPr>
              <w:spacing w:line="360" w:lineRule="auto"/>
              <w:ind w:left="178" w:leftChars="85"/>
              <w:jc w:val="center"/>
              <w:rPr>
                <w:rFonts w:hint="eastAsia" w:ascii="宋体" w:hAnsi="宋体"/>
                <w:color w:val="auto"/>
                <w:sz w:val="18"/>
                <w:szCs w:val="18"/>
              </w:rPr>
            </w:pPr>
          </w:p>
        </w:tc>
        <w:tc>
          <w:tcPr>
            <w:tcW w:w="1372" w:type="dxa"/>
            <w:gridSpan w:val="2"/>
            <w:vAlign w:val="center"/>
          </w:tcPr>
          <w:p>
            <w:pPr>
              <w:spacing w:line="360" w:lineRule="auto"/>
              <w:ind w:left="178" w:leftChars="85"/>
              <w:jc w:val="center"/>
              <w:rPr>
                <w:rFonts w:hint="eastAsia" w:ascii="宋体" w:hAnsi="宋体"/>
                <w:color w:val="auto"/>
                <w:sz w:val="18"/>
                <w:szCs w:val="18"/>
              </w:rPr>
            </w:pPr>
          </w:p>
        </w:tc>
        <w:tc>
          <w:tcPr>
            <w:tcW w:w="1430" w:type="dxa"/>
            <w:vAlign w:val="center"/>
          </w:tcPr>
          <w:p>
            <w:pPr>
              <w:spacing w:line="360" w:lineRule="auto"/>
              <w:ind w:left="178" w:leftChars="85"/>
              <w:jc w:val="center"/>
              <w:rPr>
                <w:rFonts w:hint="eastAsia" w:ascii="宋体" w:hAnsi="宋体"/>
                <w:color w:val="auto"/>
                <w:sz w:val="18"/>
                <w:szCs w:val="18"/>
              </w:rPr>
            </w:pPr>
          </w:p>
        </w:tc>
        <w:tc>
          <w:tcPr>
            <w:tcW w:w="1558" w:type="dxa"/>
            <w:vAlign w:val="center"/>
          </w:tcPr>
          <w:p>
            <w:pPr>
              <w:spacing w:line="360" w:lineRule="auto"/>
              <w:ind w:left="178" w:leftChars="85"/>
              <w:jc w:val="center"/>
              <w:rPr>
                <w:rFonts w:hint="eastAsia" w:ascii="宋体" w:hAnsi="宋体"/>
                <w:color w:val="auto"/>
                <w:sz w:val="18"/>
                <w:szCs w:val="18"/>
              </w:rPr>
            </w:pPr>
          </w:p>
        </w:tc>
        <w:tc>
          <w:tcPr>
            <w:tcW w:w="1187" w:type="dxa"/>
            <w:vAlign w:val="center"/>
          </w:tcPr>
          <w:p>
            <w:pPr>
              <w:spacing w:line="360" w:lineRule="auto"/>
              <w:ind w:left="178" w:leftChars="85"/>
              <w:jc w:val="center"/>
              <w:rPr>
                <w:rFonts w:hint="eastAsia" w:ascii="宋体" w:hAnsi="宋体"/>
                <w:color w:val="auto"/>
                <w:sz w:val="18"/>
                <w:szCs w:val="18"/>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c>
          <w:tcPr>
            <w:tcW w:w="9313" w:type="dxa"/>
            <w:gridSpan w:val="8"/>
            <w:vAlign w:val="center"/>
          </w:tcPr>
          <w:p>
            <w:pPr>
              <w:spacing w:line="360" w:lineRule="auto"/>
              <w:ind w:left="178" w:leftChars="85"/>
              <w:rPr>
                <w:rFonts w:hint="eastAsia" w:ascii="宋体" w:hAnsi="宋体"/>
                <w:color w:val="auto"/>
                <w:sz w:val="18"/>
                <w:szCs w:val="18"/>
              </w:rPr>
            </w:pPr>
            <w:r>
              <w:rPr>
                <w:rFonts w:hint="eastAsia" w:ascii="宋体" w:hAnsi="宋体"/>
                <w:color w:val="auto"/>
                <w:sz w:val="18"/>
                <w:szCs w:val="18"/>
              </w:rPr>
              <w:t>合计：2015～2017年完成3000万或以上政府投资大型重点工程项目审核</w:t>
            </w:r>
            <w:r>
              <w:rPr>
                <w:rFonts w:hint="eastAsia" w:ascii="宋体" w:hAnsi="宋体"/>
                <w:color w:val="auto"/>
                <w:sz w:val="18"/>
                <w:szCs w:val="18"/>
                <w:u w:val="single"/>
              </w:rPr>
              <w:t xml:space="preserve">   </w:t>
            </w:r>
            <w:r>
              <w:rPr>
                <w:rFonts w:hint="eastAsia" w:ascii="宋体" w:hAnsi="宋体"/>
                <w:color w:val="auto"/>
                <w:sz w:val="18"/>
                <w:szCs w:val="18"/>
              </w:rPr>
              <w:t>个。</w:t>
            </w: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c>
          <w:tcPr>
            <w:tcW w:w="9313" w:type="dxa"/>
            <w:gridSpan w:val="8"/>
            <w:vAlign w:val="center"/>
          </w:tcPr>
          <w:p>
            <w:pPr>
              <w:spacing w:line="360" w:lineRule="auto"/>
              <w:ind w:left="178" w:leftChars="85"/>
              <w:jc w:val="center"/>
              <w:rPr>
                <w:rFonts w:hint="eastAsia" w:ascii="宋体" w:hAnsi="宋体"/>
                <w:color w:val="auto"/>
                <w:sz w:val="18"/>
                <w:szCs w:val="18"/>
              </w:rPr>
            </w:pPr>
            <w:r>
              <w:rPr>
                <w:rFonts w:hint="eastAsia" w:ascii="宋体" w:hAnsi="宋体"/>
                <w:color w:val="auto"/>
                <w:sz w:val="18"/>
                <w:szCs w:val="18"/>
              </w:rPr>
              <w:t>工程编审业绩类型</w:t>
            </w: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c>
          <w:tcPr>
            <w:tcW w:w="9313" w:type="dxa"/>
            <w:gridSpan w:val="8"/>
            <w:vAlign w:val="center"/>
          </w:tcPr>
          <w:p>
            <w:pPr>
              <w:spacing w:line="360" w:lineRule="auto"/>
              <w:ind w:left="178" w:leftChars="85"/>
              <w:rPr>
                <w:rFonts w:hint="eastAsia" w:ascii="宋体" w:hAnsi="宋体"/>
                <w:i/>
                <w:color w:val="auto"/>
                <w:sz w:val="18"/>
                <w:szCs w:val="18"/>
              </w:rPr>
            </w:pPr>
            <w:r>
              <w:rPr>
                <w:rFonts w:hint="eastAsia" w:ascii="宋体" w:hAnsi="宋体"/>
                <w:color w:val="auto"/>
                <w:sz w:val="18"/>
                <w:szCs w:val="18"/>
              </w:rPr>
              <w:t>2015～2017年完成的编审业绩类型有</w:t>
            </w:r>
            <w:r>
              <w:rPr>
                <w:rFonts w:hint="eastAsia" w:ascii="宋体" w:hAnsi="宋体"/>
                <w:i/>
                <w:color w:val="auto"/>
                <w:sz w:val="18"/>
                <w:szCs w:val="18"/>
                <w:u w:val="single"/>
              </w:rPr>
              <w:t xml:space="preserve">    （按实际情况列举）   </w:t>
            </w:r>
            <w:r>
              <w:rPr>
                <w:rFonts w:hint="eastAsia" w:ascii="宋体" w:hAnsi="宋体"/>
                <w:i/>
                <w:color w:val="auto"/>
                <w:sz w:val="18"/>
                <w:szCs w:val="18"/>
              </w:rPr>
              <w:t>合共</w:t>
            </w:r>
            <w:r>
              <w:rPr>
                <w:rFonts w:hint="eastAsia" w:ascii="宋体" w:hAnsi="宋体"/>
                <w:i/>
                <w:color w:val="auto"/>
                <w:sz w:val="18"/>
                <w:szCs w:val="18"/>
                <w:u w:val="single"/>
              </w:rPr>
              <w:t xml:space="preserve">  </w:t>
            </w:r>
            <w:r>
              <w:rPr>
                <w:rFonts w:hint="eastAsia" w:ascii="宋体" w:hAnsi="宋体"/>
                <w:i/>
                <w:color w:val="auto"/>
                <w:sz w:val="18"/>
                <w:szCs w:val="18"/>
              </w:rPr>
              <w:t>种</w:t>
            </w:r>
          </w:p>
        </w:tc>
      </w:tr>
    </w:tbl>
    <w:p>
      <w:pPr>
        <w:spacing w:line="360" w:lineRule="auto"/>
        <w:ind w:left="399" w:hanging="399" w:hangingChars="190"/>
        <w:rPr>
          <w:rFonts w:hint="eastAsia" w:ascii="宋体" w:hAnsi="宋体"/>
          <w:color w:val="auto"/>
        </w:rPr>
      </w:pPr>
      <w:bookmarkStart w:id="34" w:name="_Hlt10548694"/>
      <w:r>
        <w:rPr>
          <w:rFonts w:hint="eastAsia" w:ascii="宋体" w:hAnsi="宋体"/>
          <w:color w:val="auto"/>
        </w:rPr>
        <w:t>注：</w:t>
      </w:r>
      <w:r>
        <w:rPr>
          <w:rFonts w:hint="eastAsia" w:ascii="宋体" w:hAnsi="宋体"/>
          <w:color w:val="auto"/>
          <w:szCs w:val="21"/>
        </w:rPr>
        <w:t>1、</w:t>
      </w:r>
      <w:r>
        <w:rPr>
          <w:rFonts w:hint="eastAsia" w:ascii="宋体" w:hAnsi="宋体"/>
          <w:color w:val="auto"/>
        </w:rPr>
        <w:t>列出</w:t>
      </w:r>
      <w:bookmarkEnd w:id="34"/>
      <w:r>
        <w:rPr>
          <w:rFonts w:hint="eastAsia" w:ascii="宋体" w:hAnsi="宋体" w:cs="宋体"/>
          <w:color w:val="auto"/>
          <w:szCs w:val="21"/>
        </w:rPr>
        <w:t>同类型项目业绩</w:t>
      </w:r>
      <w:r>
        <w:rPr>
          <w:rFonts w:hint="eastAsia" w:ascii="宋体" w:hAnsi="宋体"/>
          <w:color w:val="auto"/>
        </w:rPr>
        <w:t>。</w:t>
      </w:r>
    </w:p>
    <w:p>
      <w:pPr>
        <w:spacing w:line="480" w:lineRule="exact"/>
        <w:ind w:right="250" w:rightChars="119" w:firstLine="525" w:firstLineChars="250"/>
        <w:rPr>
          <w:rFonts w:hint="eastAsia" w:ascii="宋体" w:hAnsi="宋体"/>
          <w:color w:val="auto"/>
        </w:rPr>
      </w:pPr>
      <w:r>
        <w:rPr>
          <w:rFonts w:hint="eastAsia" w:ascii="宋体" w:hAnsi="宋体"/>
          <w:color w:val="auto"/>
        </w:rPr>
        <w:t>2、</w:t>
      </w:r>
      <w:r>
        <w:rPr>
          <w:rFonts w:hint="eastAsia" w:ascii="宋体" w:hAnsi="宋体"/>
          <w:color w:val="auto"/>
          <w:lang w:eastAsia="zh-CN"/>
        </w:rPr>
        <w:t>报价人</w:t>
      </w:r>
      <w:r>
        <w:rPr>
          <w:rFonts w:hint="eastAsia" w:ascii="宋体" w:hAnsi="宋体"/>
          <w:color w:val="auto"/>
        </w:rPr>
        <w:t>应尽可能全面地反映自身的业绩，以提高其投标的竞争力；此业绩清单中的项目必须随表附有对应的证明文件复印件（加盖公章），否则视为无效业绩；业务收入以纳税凭证或财务审计报告复印件为评审依据</w:t>
      </w:r>
      <w:r>
        <w:rPr>
          <w:rFonts w:hint="eastAsia" w:ascii="宋体" w:hAnsi="宋体"/>
          <w:color w:val="auto"/>
          <w:lang w:eastAsia="zh-CN"/>
        </w:rPr>
        <w:t>。</w:t>
      </w:r>
    </w:p>
    <w:p>
      <w:pPr>
        <w:spacing w:line="480" w:lineRule="exact"/>
        <w:rPr>
          <w:rFonts w:ascii="宋体"/>
          <w:b/>
          <w:color w:val="auto"/>
          <w:sz w:val="28"/>
          <w:szCs w:val="28"/>
        </w:rPr>
      </w:pPr>
    </w:p>
    <w:p>
      <w:pPr>
        <w:spacing w:line="480" w:lineRule="exact"/>
        <w:rPr>
          <w:rFonts w:ascii="宋体"/>
          <w:b/>
          <w:color w:val="auto"/>
          <w:sz w:val="28"/>
          <w:szCs w:val="28"/>
        </w:rPr>
      </w:pPr>
      <w:r>
        <w:rPr>
          <w:rFonts w:hint="eastAsia" w:ascii="宋体"/>
          <w:b/>
          <w:color w:val="auto"/>
          <w:sz w:val="28"/>
          <w:szCs w:val="28"/>
          <w:lang w:val="en-US" w:eastAsia="zh-CN"/>
        </w:rPr>
        <w:t>8</w:t>
      </w:r>
      <w:r>
        <w:rPr>
          <w:rFonts w:hint="eastAsia" w:ascii="宋体"/>
          <w:b/>
          <w:color w:val="auto"/>
          <w:sz w:val="28"/>
          <w:szCs w:val="28"/>
        </w:rPr>
        <w:t>.3近</w:t>
      </w:r>
      <w:r>
        <w:rPr>
          <w:rFonts w:hint="eastAsia" w:ascii="宋体"/>
          <w:b/>
          <w:color w:val="auto"/>
          <w:sz w:val="28"/>
          <w:szCs w:val="28"/>
          <w:u w:val="single"/>
        </w:rPr>
        <w:t>2</w:t>
      </w:r>
      <w:r>
        <w:rPr>
          <w:rFonts w:hint="eastAsia" w:ascii="宋体"/>
          <w:b/>
          <w:color w:val="auto"/>
          <w:sz w:val="28"/>
          <w:szCs w:val="28"/>
        </w:rPr>
        <w:t>年的财务报表</w:t>
      </w:r>
    </w:p>
    <w:p>
      <w:pPr>
        <w:spacing w:line="480" w:lineRule="exact"/>
        <w:ind w:firstLine="420"/>
        <w:rPr>
          <w:rFonts w:ascii="宋体"/>
          <w:color w:val="auto"/>
        </w:rPr>
      </w:pPr>
      <w:r>
        <w:rPr>
          <w:rFonts w:hint="eastAsia" w:ascii="宋体" w:hAnsi="宋体"/>
          <w:color w:val="auto"/>
        </w:rPr>
        <w:t>报价人提供近 二 年（2015年、2016年）的财务报</w:t>
      </w:r>
      <w:r>
        <w:rPr>
          <w:rFonts w:hint="eastAsia" w:ascii="宋体" w:hAnsi="宋体"/>
          <w:color w:val="auto"/>
          <w:lang w:eastAsia="zh-CN"/>
        </w:rPr>
        <w:t>告</w:t>
      </w:r>
      <w:r>
        <w:rPr>
          <w:rFonts w:hint="eastAsia" w:ascii="宋体" w:hAnsi="宋体"/>
          <w:color w:val="auto"/>
        </w:rPr>
        <w:t>（提供由会计师事务所出具的审计报告，如响应供应商为新注册的，提供成立至今的月或季度财务状况报告复印件）</w:t>
      </w:r>
    </w:p>
    <w:p>
      <w:pPr>
        <w:spacing w:line="480" w:lineRule="exact"/>
        <w:ind w:firstLine="420"/>
        <w:rPr>
          <w:rFonts w:ascii="宋体"/>
          <w:color w:val="auto"/>
          <w:sz w:val="28"/>
          <w:szCs w:val="28"/>
        </w:rPr>
      </w:pPr>
    </w:p>
    <w:p>
      <w:pPr>
        <w:spacing w:line="480" w:lineRule="exact"/>
        <w:rPr>
          <w:rFonts w:ascii="宋体"/>
          <w:b/>
          <w:color w:val="auto"/>
          <w:sz w:val="28"/>
          <w:szCs w:val="28"/>
        </w:rPr>
      </w:pPr>
      <w:r>
        <w:rPr>
          <w:rFonts w:hint="eastAsia" w:ascii="宋体"/>
          <w:b/>
          <w:color w:val="auto"/>
          <w:sz w:val="28"/>
          <w:szCs w:val="28"/>
          <w:lang w:val="en-US" w:eastAsia="zh-CN"/>
        </w:rPr>
        <w:t>8</w:t>
      </w:r>
      <w:r>
        <w:rPr>
          <w:rFonts w:hint="eastAsia" w:ascii="宋体"/>
          <w:b/>
          <w:color w:val="auto"/>
          <w:sz w:val="28"/>
          <w:szCs w:val="28"/>
        </w:rPr>
        <w:t>.4 关于诉讼</w:t>
      </w:r>
    </w:p>
    <w:p>
      <w:pPr>
        <w:spacing w:line="480" w:lineRule="exact"/>
        <w:ind w:firstLine="420" w:firstLineChars="200"/>
        <w:rPr>
          <w:rFonts w:ascii="宋体"/>
          <w:color w:val="auto"/>
        </w:rPr>
      </w:pPr>
      <w:r>
        <w:rPr>
          <w:rFonts w:hint="eastAsia" w:ascii="宋体"/>
          <w:color w:val="auto"/>
        </w:rPr>
        <w:t>报价人应说明近</w:t>
      </w:r>
      <w:r>
        <w:rPr>
          <w:rFonts w:hint="eastAsia" w:ascii="宋体"/>
          <w:color w:val="auto"/>
          <w:u w:val="single"/>
        </w:rPr>
        <w:t xml:space="preserve"> 3 </w:t>
      </w:r>
      <w:r>
        <w:rPr>
          <w:rFonts w:hint="eastAsia" w:ascii="宋体"/>
          <w:color w:val="auto"/>
        </w:rPr>
        <w:t>年在经营活动及政府采购活动中发生的由于报价人违约或部分违约而引起的诉讼和索赔案件的具体情况及结果。若报价人对本项目进行隐瞒而又被采购人或招标代理机构发现，或被其他单位举证成立，其报价资格将被取消。</w:t>
      </w:r>
    </w:p>
    <w:p>
      <w:pPr>
        <w:spacing w:line="480" w:lineRule="exact"/>
        <w:rPr>
          <w:rFonts w:ascii="宋体"/>
          <w:b/>
          <w:color w:val="auto"/>
          <w:sz w:val="28"/>
          <w:szCs w:val="28"/>
        </w:rPr>
      </w:pPr>
    </w:p>
    <w:p>
      <w:pPr>
        <w:spacing w:line="480" w:lineRule="exact"/>
        <w:rPr>
          <w:rFonts w:ascii="宋体"/>
          <w:b/>
          <w:color w:val="auto"/>
          <w:sz w:val="28"/>
          <w:szCs w:val="28"/>
        </w:rPr>
      </w:pPr>
      <w:r>
        <w:rPr>
          <w:rFonts w:hint="eastAsia" w:ascii="宋体"/>
          <w:b/>
          <w:color w:val="auto"/>
          <w:sz w:val="28"/>
          <w:szCs w:val="28"/>
          <w:lang w:val="en-US" w:eastAsia="zh-CN"/>
        </w:rPr>
        <w:t>8</w:t>
      </w:r>
      <w:r>
        <w:rPr>
          <w:rFonts w:hint="eastAsia" w:ascii="宋体"/>
          <w:b/>
          <w:color w:val="auto"/>
          <w:sz w:val="28"/>
          <w:szCs w:val="28"/>
        </w:rPr>
        <w:t>.5  名称变更证明</w:t>
      </w:r>
    </w:p>
    <w:p>
      <w:pPr>
        <w:spacing w:line="480" w:lineRule="exact"/>
        <w:ind w:firstLine="420" w:firstLineChars="200"/>
        <w:jc w:val="both"/>
        <w:rPr>
          <w:rFonts w:ascii="宋体"/>
          <w:color w:val="auto"/>
        </w:rPr>
      </w:pPr>
      <w:r>
        <w:rPr>
          <w:rFonts w:hint="eastAsia" w:ascii="宋体"/>
          <w:color w:val="auto"/>
        </w:rPr>
        <w:t>本次招标，如果有名称变更的（非因该单位出现了与资格预审时的营业性质的根本改变以至不再满足本次招标的要求），报价人应提供相关变更证明文件，说明由原名称因何种原因变更为现名称。</w:t>
      </w:r>
    </w:p>
    <w:p>
      <w:pPr>
        <w:spacing w:line="480" w:lineRule="exact"/>
        <w:ind w:firstLine="420" w:firstLineChars="200"/>
        <w:jc w:val="both"/>
        <w:rPr>
          <w:rFonts w:ascii="宋体"/>
          <w:color w:val="auto"/>
        </w:rPr>
      </w:pPr>
    </w:p>
    <w:p>
      <w:pPr>
        <w:spacing w:line="480" w:lineRule="exact"/>
        <w:ind w:left="720" w:hanging="720" w:hangingChars="256"/>
        <w:rPr>
          <w:rFonts w:ascii="宋体"/>
          <w:b/>
          <w:color w:val="auto"/>
          <w:sz w:val="28"/>
          <w:szCs w:val="28"/>
        </w:rPr>
      </w:pPr>
      <w:r>
        <w:rPr>
          <w:rFonts w:hint="eastAsia" w:ascii="宋体"/>
          <w:b/>
          <w:color w:val="auto"/>
          <w:sz w:val="28"/>
          <w:szCs w:val="28"/>
          <w:lang w:val="en-US" w:eastAsia="zh-CN"/>
        </w:rPr>
        <w:t>8</w:t>
      </w:r>
      <w:r>
        <w:rPr>
          <w:rFonts w:hint="eastAsia" w:ascii="宋体"/>
          <w:b/>
          <w:color w:val="auto"/>
          <w:sz w:val="28"/>
          <w:szCs w:val="28"/>
        </w:rPr>
        <w:t>.6  报价人获奖情况及质量认证</w:t>
      </w:r>
    </w:p>
    <w:p>
      <w:pPr>
        <w:spacing w:line="480" w:lineRule="exact"/>
        <w:rPr>
          <w:rFonts w:ascii="宋体"/>
          <w:b/>
          <w:color w:val="auto"/>
          <w:sz w:val="28"/>
          <w:szCs w:val="28"/>
        </w:rPr>
      </w:pPr>
    </w:p>
    <w:p>
      <w:pPr>
        <w:spacing w:line="360" w:lineRule="auto"/>
        <w:rPr>
          <w:rFonts w:ascii="宋体"/>
          <w:b/>
          <w:color w:val="auto"/>
          <w:sz w:val="28"/>
          <w:szCs w:val="28"/>
        </w:rPr>
      </w:pPr>
      <w:r>
        <w:rPr>
          <w:rFonts w:hint="eastAsia" w:ascii="宋体"/>
          <w:b/>
          <w:color w:val="auto"/>
          <w:sz w:val="28"/>
          <w:szCs w:val="28"/>
          <w:lang w:val="en-US" w:eastAsia="zh-CN"/>
        </w:rPr>
        <w:t>8</w:t>
      </w:r>
      <w:r>
        <w:rPr>
          <w:rFonts w:hint="eastAsia" w:ascii="宋体"/>
          <w:b/>
          <w:color w:val="auto"/>
          <w:sz w:val="28"/>
          <w:szCs w:val="28"/>
        </w:rPr>
        <w:t>.7  报价人认为有必要提供的其它资料。</w:t>
      </w:r>
    </w:p>
    <w:p>
      <w:pPr>
        <w:spacing w:line="360" w:lineRule="auto"/>
        <w:ind w:firstLine="315" w:firstLineChars="150"/>
        <w:rPr>
          <w:rFonts w:ascii="宋体" w:hAnsi="宋体"/>
          <w:color w:val="auto"/>
          <w:szCs w:val="21"/>
        </w:rPr>
      </w:pPr>
    </w:p>
    <w:p>
      <w:pPr>
        <w:spacing w:line="360" w:lineRule="auto"/>
        <w:ind w:firstLine="315" w:firstLineChars="150"/>
        <w:rPr>
          <w:rFonts w:ascii="宋体" w:hAnsi="宋体"/>
          <w:color w:val="auto"/>
          <w:szCs w:val="21"/>
        </w:rPr>
      </w:pPr>
      <w:r>
        <w:rPr>
          <w:rFonts w:hint="eastAsia" w:ascii="宋体" w:hAnsi="宋体"/>
          <w:color w:val="auto"/>
          <w:szCs w:val="21"/>
        </w:rPr>
        <w:t>除上述资料外，《服务商务打分表》要求提交的其他资料。</w:t>
      </w:r>
    </w:p>
    <w:p>
      <w:pPr>
        <w:spacing w:line="480" w:lineRule="exact"/>
        <w:rPr>
          <w:rFonts w:ascii="宋体"/>
          <w:b/>
          <w:color w:val="auto"/>
          <w:sz w:val="28"/>
          <w:szCs w:val="28"/>
        </w:rPr>
      </w:pPr>
      <w:r>
        <w:rPr>
          <w:rFonts w:ascii="宋体"/>
          <w:b/>
          <w:color w:val="auto"/>
          <w:sz w:val="24"/>
        </w:rPr>
        <w:br w:type="page"/>
      </w:r>
      <w:bookmarkStart w:id="35" w:name="_Hlt10462379"/>
      <w:bookmarkEnd w:id="35"/>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rPr>
          <w:b/>
          <w:color w:val="auto"/>
          <w:sz w:val="44"/>
          <w:szCs w:val="44"/>
        </w:rPr>
      </w:pPr>
    </w:p>
    <w:p>
      <w:pPr>
        <w:pStyle w:val="14"/>
        <w:spacing w:line="480" w:lineRule="exact"/>
        <w:jc w:val="center"/>
        <w:outlineLvl w:val="0"/>
        <w:rPr>
          <w:b/>
          <w:color w:val="auto"/>
          <w:sz w:val="44"/>
          <w:szCs w:val="44"/>
        </w:rPr>
      </w:pPr>
      <w:r>
        <w:rPr>
          <w:rFonts w:hint="eastAsia"/>
          <w:b/>
          <w:color w:val="auto"/>
          <w:sz w:val="44"/>
          <w:szCs w:val="44"/>
          <w:lang w:eastAsia="zh-CN"/>
        </w:rPr>
        <w:t>二</w:t>
      </w:r>
      <w:r>
        <w:rPr>
          <w:rFonts w:hint="eastAsia"/>
          <w:b/>
          <w:color w:val="auto"/>
          <w:sz w:val="44"/>
          <w:szCs w:val="44"/>
        </w:rPr>
        <w:t>、</w:t>
      </w:r>
      <w:r>
        <w:rPr>
          <w:rFonts w:hint="eastAsia"/>
          <w:b/>
          <w:color w:val="auto"/>
          <w:sz w:val="44"/>
          <w:szCs w:val="44"/>
          <w:lang w:eastAsia="zh-CN"/>
        </w:rPr>
        <w:t>技</w:t>
      </w:r>
      <w:r>
        <w:rPr>
          <w:rFonts w:hint="eastAsia"/>
          <w:b/>
          <w:color w:val="auto"/>
          <w:sz w:val="44"/>
          <w:szCs w:val="44"/>
          <w:lang w:val="en-US" w:eastAsia="zh-CN"/>
        </w:rPr>
        <w:t xml:space="preserve"> </w:t>
      </w:r>
      <w:r>
        <w:rPr>
          <w:rFonts w:hint="eastAsia"/>
          <w:b/>
          <w:color w:val="auto"/>
          <w:sz w:val="44"/>
          <w:szCs w:val="44"/>
          <w:lang w:eastAsia="zh-CN"/>
        </w:rPr>
        <w:t>术</w:t>
      </w:r>
      <w:r>
        <w:rPr>
          <w:rFonts w:hint="eastAsia"/>
          <w:b/>
          <w:color w:val="auto"/>
          <w:sz w:val="44"/>
          <w:szCs w:val="44"/>
          <w:lang w:val="en-US" w:eastAsia="zh-CN"/>
        </w:rPr>
        <w:t xml:space="preserve"> </w:t>
      </w:r>
      <w:r>
        <w:rPr>
          <w:rFonts w:hint="eastAsia"/>
          <w:b/>
          <w:color w:val="auto"/>
          <w:sz w:val="44"/>
          <w:szCs w:val="44"/>
        </w:rPr>
        <w:t>服 务 方 案 响 应</w:t>
      </w:r>
    </w:p>
    <w:p>
      <w:pPr>
        <w:pStyle w:val="14"/>
        <w:spacing w:line="480" w:lineRule="exact"/>
        <w:jc w:val="center"/>
        <w:outlineLvl w:val="0"/>
        <w:rPr>
          <w:b/>
          <w:color w:val="auto"/>
          <w:sz w:val="44"/>
          <w:szCs w:val="44"/>
        </w:rPr>
      </w:pPr>
    </w:p>
    <w:p>
      <w:pPr>
        <w:pStyle w:val="2"/>
        <w:spacing w:line="480" w:lineRule="exact"/>
        <w:rPr>
          <w:rFonts w:hAnsi="宋体"/>
          <w:color w:val="auto"/>
          <w:kern w:val="2"/>
          <w:sz w:val="32"/>
          <w:szCs w:val="32"/>
        </w:rPr>
      </w:pPr>
      <w:r>
        <w:rPr>
          <w:color w:val="auto"/>
        </w:rPr>
        <w:br w:type="page"/>
      </w:r>
      <w:bookmarkStart w:id="36" w:name="_Hlt10523647"/>
      <w:bookmarkEnd w:id="36"/>
      <w:bookmarkStart w:id="37" w:name="_Hlt10520028"/>
      <w:bookmarkEnd w:id="37"/>
      <w:bookmarkStart w:id="38" w:name="_Toc42951059"/>
      <w:r>
        <w:rPr>
          <w:rFonts w:hint="eastAsia"/>
          <w:color w:val="auto"/>
          <w:sz w:val="32"/>
          <w:szCs w:val="32"/>
          <w:lang w:val="en-US" w:eastAsia="zh-CN"/>
        </w:rPr>
        <w:t>9</w:t>
      </w:r>
      <w:r>
        <w:rPr>
          <w:rFonts w:hint="eastAsia"/>
          <w:color w:val="auto"/>
          <w:sz w:val="32"/>
          <w:szCs w:val="32"/>
        </w:rPr>
        <w:t>．</w:t>
      </w:r>
      <w:bookmarkEnd w:id="38"/>
      <w:bookmarkStart w:id="39" w:name="_Toc42956284"/>
      <w:bookmarkStart w:id="40" w:name="_Toc4471859"/>
      <w:r>
        <w:rPr>
          <w:rFonts w:hint="eastAsia"/>
          <w:color w:val="auto"/>
          <w:sz w:val="32"/>
          <w:szCs w:val="32"/>
          <w:lang w:eastAsia="zh-CN"/>
        </w:rPr>
        <w:t>技术</w:t>
      </w:r>
      <w:r>
        <w:rPr>
          <w:rFonts w:hint="eastAsia" w:hAnsi="宋体"/>
          <w:color w:val="auto"/>
          <w:kern w:val="2"/>
          <w:sz w:val="32"/>
          <w:szCs w:val="32"/>
        </w:rPr>
        <w:t>服务方案响应文件格式</w:t>
      </w:r>
    </w:p>
    <w:p>
      <w:pPr>
        <w:rPr>
          <w:color w:val="auto"/>
        </w:rPr>
      </w:pPr>
    </w:p>
    <w:p>
      <w:pPr>
        <w:keepNext w:val="0"/>
        <w:keepLines w:val="0"/>
        <w:pageBreakBefore w:val="0"/>
        <w:widowControl/>
        <w:kinsoku/>
        <w:wordWrap/>
        <w:overflowPunct/>
        <w:topLinePunct w:val="0"/>
        <w:autoSpaceDE/>
        <w:autoSpaceDN/>
        <w:bidi w:val="0"/>
        <w:adjustRightInd/>
        <w:snapToGrid/>
        <w:spacing w:line="480" w:lineRule="exact"/>
        <w:ind w:right="0" w:rightChars="0"/>
        <w:jc w:val="left"/>
        <w:textAlignment w:val="auto"/>
        <w:outlineLvl w:val="9"/>
        <w:rPr>
          <w:b/>
          <w:color w:val="auto"/>
          <w:sz w:val="24"/>
          <w:szCs w:val="24"/>
        </w:rPr>
      </w:pPr>
      <w:bookmarkStart w:id="41" w:name="_Toc42956283"/>
      <w:r>
        <w:rPr>
          <w:rFonts w:hint="eastAsia" w:ascii="宋体" w:hAnsi="宋体"/>
          <w:b/>
          <w:color w:val="auto"/>
          <w:sz w:val="28"/>
          <w:szCs w:val="28"/>
          <w:lang w:val="en-US" w:eastAsia="zh-CN"/>
        </w:rPr>
        <w:t>9</w:t>
      </w:r>
      <w:r>
        <w:rPr>
          <w:rFonts w:hint="eastAsia" w:ascii="宋体" w:hAnsi="宋体"/>
          <w:b/>
          <w:color w:val="auto"/>
          <w:sz w:val="28"/>
          <w:szCs w:val="28"/>
        </w:rPr>
        <w:t>.1</w:t>
      </w:r>
      <w:bookmarkEnd w:id="41"/>
      <w:r>
        <w:rPr>
          <w:rFonts w:hint="eastAsia" w:ascii="宋体" w:hAnsi="宋体"/>
          <w:b/>
          <w:color w:val="auto"/>
          <w:sz w:val="28"/>
          <w:szCs w:val="28"/>
        </w:rPr>
        <w:t xml:space="preserve"> </w:t>
      </w:r>
      <w:r>
        <w:rPr>
          <w:rFonts w:hint="eastAsia" w:ascii="宋体" w:hAnsi="宋体"/>
          <w:b/>
          <w:color w:val="auto"/>
          <w:sz w:val="28"/>
          <w:szCs w:val="28"/>
          <w:lang w:eastAsia="zh-CN"/>
        </w:rPr>
        <w:t>技术</w:t>
      </w:r>
      <w:r>
        <w:rPr>
          <w:rFonts w:hint="eastAsia"/>
          <w:b/>
          <w:color w:val="auto"/>
          <w:sz w:val="24"/>
          <w:szCs w:val="24"/>
        </w:rPr>
        <w:t>服务需求响应表</w:t>
      </w:r>
    </w:p>
    <w:p>
      <w:pPr>
        <w:keepNext w:val="0"/>
        <w:keepLines w:val="0"/>
        <w:pageBreakBefore w:val="0"/>
        <w:widowControl/>
        <w:kinsoku/>
        <w:wordWrap/>
        <w:overflowPunct/>
        <w:topLinePunct w:val="0"/>
        <w:autoSpaceDE/>
        <w:autoSpaceDN/>
        <w:bidi w:val="0"/>
        <w:adjustRightInd/>
        <w:snapToGrid/>
        <w:spacing w:line="480" w:lineRule="exact"/>
        <w:ind w:right="0" w:rightChars="0"/>
        <w:jc w:val="left"/>
        <w:textAlignment w:val="auto"/>
        <w:outlineLvl w:val="9"/>
        <w:rPr>
          <w:b/>
          <w:bCs/>
          <w:color w:val="auto"/>
          <w:sz w:val="24"/>
          <w:szCs w:val="24"/>
        </w:rPr>
      </w:pPr>
      <w:r>
        <w:rPr>
          <w:rFonts w:hint="eastAsia"/>
          <w:b/>
          <w:color w:val="auto"/>
          <w:sz w:val="24"/>
          <w:szCs w:val="24"/>
        </w:rPr>
        <w:t>（1）</w:t>
      </w:r>
      <w:r>
        <w:rPr>
          <w:rFonts w:hint="eastAsia" w:ascii="宋体" w:hAnsi="宋体"/>
          <w:b/>
          <w:color w:val="auto"/>
          <w:sz w:val="28"/>
          <w:szCs w:val="28"/>
        </w:rPr>
        <w:t xml:space="preserve"> </w:t>
      </w:r>
      <w:r>
        <w:rPr>
          <w:rFonts w:hint="eastAsia"/>
          <w:b/>
          <w:bCs/>
          <w:color w:val="auto"/>
          <w:sz w:val="24"/>
          <w:szCs w:val="24"/>
        </w:rPr>
        <w:t>实质性响应</w:t>
      </w:r>
      <w:r>
        <w:rPr>
          <w:rFonts w:hint="eastAsia"/>
          <w:b/>
          <w:bCs/>
          <w:color w:val="auto"/>
          <w:sz w:val="24"/>
          <w:szCs w:val="24"/>
          <w:lang w:eastAsia="zh-CN"/>
        </w:rPr>
        <w:t>技术</w:t>
      </w:r>
      <w:r>
        <w:rPr>
          <w:rFonts w:hint="eastAsia"/>
          <w:b/>
          <w:bCs/>
          <w:color w:val="auto"/>
          <w:sz w:val="24"/>
          <w:szCs w:val="24"/>
        </w:rPr>
        <w:t>服务需求（“</w:t>
      </w:r>
      <w:r>
        <w:rPr>
          <w:rFonts w:hint="eastAsia" w:ascii="宋体" w:hAnsi="宋体" w:cs="宋体"/>
          <w:b/>
          <w:bCs/>
          <w:color w:val="auto"/>
          <w:sz w:val="24"/>
          <w:szCs w:val="24"/>
        </w:rPr>
        <w:t>★</w:t>
      </w:r>
      <w:r>
        <w:rPr>
          <w:rFonts w:hint="eastAsia"/>
          <w:b/>
          <w:bCs/>
          <w:color w:val="auto"/>
          <w:sz w:val="24"/>
          <w:szCs w:val="24"/>
        </w:rPr>
        <w:t>”项）响应表</w:t>
      </w:r>
    </w:p>
    <w:p>
      <w:pPr>
        <w:keepNext w:val="0"/>
        <w:keepLines w:val="0"/>
        <w:pageBreakBefore w:val="0"/>
        <w:widowControl/>
        <w:tabs>
          <w:tab w:val="left" w:pos="2900"/>
        </w:tabs>
        <w:kinsoku/>
        <w:wordWrap/>
        <w:overflowPunct/>
        <w:topLinePunct w:val="0"/>
        <w:autoSpaceDE/>
        <w:autoSpaceDN/>
        <w:bidi w:val="0"/>
        <w:adjustRightInd/>
        <w:snapToGrid/>
        <w:spacing w:line="480" w:lineRule="exact"/>
        <w:ind w:left="2" w:leftChars="1" w:right="0" w:rightChars="0" w:firstLine="420" w:firstLineChars="200"/>
        <w:jc w:val="left"/>
        <w:textAlignment w:val="auto"/>
        <w:outlineLvl w:val="9"/>
        <w:rPr>
          <w:rFonts w:ascii="宋体" w:hAnsi="宋体"/>
          <w:color w:val="auto"/>
          <w:szCs w:val="21"/>
        </w:rPr>
      </w:pPr>
      <w:r>
        <w:rPr>
          <w:rFonts w:hint="eastAsia" w:ascii="宋体" w:hAnsi="宋体"/>
          <w:color w:val="auto"/>
          <w:szCs w:val="21"/>
        </w:rPr>
        <w:t>报价人应根据报价的实际情况对磋商文件中《用户需求书》的内容作全面响应。完全满足的在“响应栏”中打“√”，若有差异则打“×”，并将差异情况加以说明。</w:t>
      </w:r>
    </w:p>
    <w:tbl>
      <w:tblPr>
        <w:tblStyle w:val="30"/>
        <w:tblW w:w="8717"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746"/>
        <w:gridCol w:w="2730"/>
        <w:gridCol w:w="25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spacing w:line="480" w:lineRule="exact"/>
              <w:jc w:val="center"/>
              <w:rPr>
                <w:rFonts w:ascii="宋体" w:hAnsi="宋体"/>
                <w:b/>
                <w:color w:val="auto"/>
                <w:szCs w:val="21"/>
              </w:rPr>
            </w:pPr>
            <w:r>
              <w:rPr>
                <w:rFonts w:hint="eastAsia" w:ascii="宋体" w:hAnsi="宋体"/>
                <w:b/>
                <w:color w:val="auto"/>
                <w:szCs w:val="21"/>
              </w:rPr>
              <w:t>序号</w:t>
            </w:r>
          </w:p>
        </w:tc>
        <w:tc>
          <w:tcPr>
            <w:tcW w:w="2746" w:type="dxa"/>
            <w:vAlign w:val="center"/>
          </w:tcPr>
          <w:p>
            <w:pPr>
              <w:spacing w:line="480" w:lineRule="exact"/>
              <w:jc w:val="center"/>
              <w:rPr>
                <w:rFonts w:ascii="宋体" w:hAnsi="宋体"/>
                <w:b/>
                <w:color w:val="auto"/>
                <w:szCs w:val="21"/>
              </w:rPr>
            </w:pPr>
            <w:r>
              <w:rPr>
                <w:rFonts w:hint="eastAsia" w:ascii="宋体" w:hAnsi="宋体"/>
                <w:b/>
                <w:color w:val="auto"/>
                <w:szCs w:val="21"/>
              </w:rPr>
              <w:t>用户需求</w:t>
            </w:r>
          </w:p>
        </w:tc>
        <w:tc>
          <w:tcPr>
            <w:tcW w:w="2730" w:type="dxa"/>
            <w:vAlign w:val="center"/>
          </w:tcPr>
          <w:p>
            <w:pPr>
              <w:spacing w:line="480" w:lineRule="exact"/>
              <w:jc w:val="center"/>
              <w:rPr>
                <w:rFonts w:ascii="宋体" w:hAnsi="宋体"/>
                <w:b/>
                <w:color w:val="auto"/>
                <w:szCs w:val="21"/>
              </w:rPr>
            </w:pPr>
            <w:r>
              <w:rPr>
                <w:rFonts w:hint="eastAsia" w:ascii="宋体" w:hAnsi="宋体"/>
                <w:b/>
                <w:color w:val="auto"/>
                <w:szCs w:val="21"/>
              </w:rPr>
              <w:t>响应情况</w:t>
            </w:r>
          </w:p>
        </w:tc>
        <w:tc>
          <w:tcPr>
            <w:tcW w:w="2520" w:type="dxa"/>
            <w:vAlign w:val="center"/>
          </w:tcPr>
          <w:p>
            <w:pPr>
              <w:spacing w:line="480" w:lineRule="exact"/>
              <w:jc w:val="center"/>
              <w:rPr>
                <w:rFonts w:ascii="宋体" w:hAnsi="宋体"/>
                <w:b/>
                <w:color w:val="auto"/>
                <w:szCs w:val="21"/>
              </w:rPr>
            </w:pPr>
            <w:r>
              <w:rPr>
                <w:rFonts w:hint="eastAsia" w:ascii="宋体" w:hAnsi="宋体"/>
                <w:b/>
                <w:color w:val="auto"/>
                <w:szCs w:val="21"/>
              </w:rPr>
              <w:t>差异描述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color w:val="auto"/>
                <w:szCs w:val="21"/>
              </w:rPr>
            </w:pPr>
            <w:r>
              <w:rPr>
                <w:rFonts w:hint="eastAsia" w:ascii="宋体" w:hAnsi="宋体"/>
                <w:color w:val="auto"/>
                <w:szCs w:val="21"/>
              </w:rPr>
              <w:t>1</w:t>
            </w:r>
          </w:p>
        </w:tc>
        <w:tc>
          <w:tcPr>
            <w:tcW w:w="2746" w:type="dxa"/>
            <w:vAlign w:val="center"/>
          </w:tcPr>
          <w:p>
            <w:pPr>
              <w:jc w:val="center"/>
              <w:rPr>
                <w:rFonts w:ascii="宋体" w:hAnsi="宋体"/>
                <w:color w:val="auto"/>
                <w:szCs w:val="21"/>
              </w:rPr>
            </w:pPr>
            <w:r>
              <w:rPr>
                <w:rFonts w:hint="eastAsia" w:ascii="宋体" w:hAnsi="宋体"/>
                <w:color w:val="auto"/>
                <w:szCs w:val="21"/>
              </w:rPr>
              <w:t>逐条响应</w:t>
            </w:r>
          </w:p>
        </w:tc>
        <w:tc>
          <w:tcPr>
            <w:tcW w:w="2730" w:type="dxa"/>
            <w:vAlign w:val="center"/>
          </w:tcPr>
          <w:p>
            <w:pPr>
              <w:jc w:val="center"/>
              <w:rPr>
                <w:rFonts w:ascii="宋体" w:hAnsi="宋体"/>
                <w:color w:val="auto"/>
                <w:szCs w:val="21"/>
              </w:rPr>
            </w:pPr>
            <w:r>
              <w:rPr>
                <w:rFonts w:hint="eastAsia" w:ascii="宋体" w:hAnsi="宋体"/>
                <w:color w:val="auto"/>
                <w:szCs w:val="21"/>
              </w:rPr>
              <w:t>逐条响应</w:t>
            </w:r>
          </w:p>
        </w:tc>
        <w:tc>
          <w:tcPr>
            <w:tcW w:w="2520" w:type="dxa"/>
            <w:vAlign w:val="center"/>
          </w:tcPr>
          <w:p>
            <w:pPr>
              <w:jc w:val="center"/>
              <w:rPr>
                <w:rFonts w:ascii="宋体" w:hAnsi="宋体"/>
                <w:color w:val="auto"/>
                <w:szCs w:val="21"/>
              </w:rPr>
            </w:pPr>
            <w:r>
              <w:rPr>
                <w:rFonts w:hint="eastAsia" w:ascii="宋体" w:hAnsi="宋体"/>
                <w:color w:val="auto"/>
                <w:szCs w:val="21"/>
              </w:rPr>
              <w:t>逐条响应</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color w:val="auto"/>
                <w:szCs w:val="21"/>
              </w:rPr>
            </w:pPr>
            <w:r>
              <w:rPr>
                <w:rFonts w:hint="eastAsia" w:ascii="宋体" w:hAnsi="宋体"/>
                <w:color w:val="auto"/>
                <w:szCs w:val="21"/>
              </w:rPr>
              <w:t>2</w:t>
            </w:r>
          </w:p>
        </w:tc>
        <w:tc>
          <w:tcPr>
            <w:tcW w:w="2746" w:type="dxa"/>
            <w:vAlign w:val="center"/>
          </w:tcPr>
          <w:p>
            <w:pPr>
              <w:jc w:val="center"/>
              <w:rPr>
                <w:rFonts w:ascii="宋体" w:hAnsi="宋体"/>
                <w:color w:val="auto"/>
                <w:szCs w:val="21"/>
              </w:rPr>
            </w:pPr>
            <w:r>
              <w:rPr>
                <w:rFonts w:hint="eastAsia" w:ascii="宋体" w:hAnsi="宋体"/>
                <w:color w:val="auto"/>
                <w:szCs w:val="21"/>
              </w:rPr>
              <w:t>……</w:t>
            </w:r>
          </w:p>
        </w:tc>
        <w:tc>
          <w:tcPr>
            <w:tcW w:w="2730" w:type="dxa"/>
            <w:vAlign w:val="center"/>
          </w:tcPr>
          <w:p>
            <w:pPr>
              <w:jc w:val="center"/>
              <w:rPr>
                <w:rFonts w:ascii="宋体" w:hAnsi="宋体"/>
                <w:color w:val="auto"/>
                <w:szCs w:val="21"/>
              </w:rPr>
            </w:pPr>
            <w:r>
              <w:rPr>
                <w:rFonts w:hint="eastAsia" w:ascii="宋体" w:hAnsi="宋体"/>
                <w:color w:val="auto"/>
                <w:szCs w:val="21"/>
              </w:rPr>
              <w:t>……</w:t>
            </w:r>
          </w:p>
        </w:tc>
        <w:tc>
          <w:tcPr>
            <w:tcW w:w="2520" w:type="dxa"/>
            <w:vAlign w:val="center"/>
          </w:tcPr>
          <w:p>
            <w:pPr>
              <w:jc w:val="center"/>
              <w:rPr>
                <w:rFonts w:ascii="宋体" w:hAnsi="宋体"/>
                <w:color w:val="auto"/>
                <w:szCs w:val="21"/>
              </w:rPr>
            </w:pPr>
            <w:r>
              <w:rPr>
                <w:rFonts w:hint="eastAsia" w:ascii="宋体" w:hAnsi="宋体"/>
                <w:color w:val="auto"/>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color w:val="auto"/>
                <w:szCs w:val="21"/>
              </w:rPr>
            </w:pPr>
            <w:r>
              <w:rPr>
                <w:rFonts w:hint="eastAsia" w:ascii="宋体" w:hAnsi="宋体"/>
                <w:color w:val="auto"/>
                <w:szCs w:val="21"/>
              </w:rPr>
              <w:t>3</w:t>
            </w:r>
          </w:p>
        </w:tc>
        <w:tc>
          <w:tcPr>
            <w:tcW w:w="2746" w:type="dxa"/>
            <w:vAlign w:val="center"/>
          </w:tcPr>
          <w:p>
            <w:pPr>
              <w:jc w:val="center"/>
              <w:rPr>
                <w:rFonts w:ascii="宋体" w:hAnsi="宋体"/>
                <w:color w:val="auto"/>
                <w:szCs w:val="21"/>
              </w:rPr>
            </w:pPr>
          </w:p>
        </w:tc>
        <w:tc>
          <w:tcPr>
            <w:tcW w:w="2730" w:type="dxa"/>
            <w:vAlign w:val="center"/>
          </w:tcPr>
          <w:p>
            <w:pPr>
              <w:jc w:val="center"/>
              <w:rPr>
                <w:rFonts w:ascii="宋体" w:hAnsi="宋体"/>
                <w:color w:val="auto"/>
                <w:szCs w:val="21"/>
              </w:rPr>
            </w:pPr>
          </w:p>
        </w:tc>
        <w:tc>
          <w:tcPr>
            <w:tcW w:w="2520" w:type="dxa"/>
            <w:vAlign w:val="center"/>
          </w:tcPr>
          <w:p>
            <w:pPr>
              <w:jc w:val="center"/>
              <w:rPr>
                <w:rFonts w:ascii="宋体" w:hAnsi="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color w:val="auto"/>
                <w:szCs w:val="21"/>
              </w:rPr>
            </w:pPr>
            <w:r>
              <w:rPr>
                <w:rFonts w:hint="eastAsia" w:ascii="宋体" w:hAnsi="宋体"/>
                <w:color w:val="auto"/>
                <w:szCs w:val="21"/>
              </w:rPr>
              <w:t>4</w:t>
            </w:r>
          </w:p>
        </w:tc>
        <w:tc>
          <w:tcPr>
            <w:tcW w:w="2746" w:type="dxa"/>
            <w:vAlign w:val="center"/>
          </w:tcPr>
          <w:p>
            <w:pPr>
              <w:jc w:val="center"/>
              <w:rPr>
                <w:rFonts w:ascii="宋体" w:hAnsi="宋体"/>
                <w:color w:val="auto"/>
                <w:szCs w:val="21"/>
              </w:rPr>
            </w:pPr>
          </w:p>
        </w:tc>
        <w:tc>
          <w:tcPr>
            <w:tcW w:w="2730" w:type="dxa"/>
            <w:vAlign w:val="center"/>
          </w:tcPr>
          <w:p>
            <w:pPr>
              <w:jc w:val="center"/>
              <w:rPr>
                <w:rFonts w:ascii="宋体" w:hAnsi="宋体"/>
                <w:color w:val="auto"/>
                <w:szCs w:val="21"/>
              </w:rPr>
            </w:pPr>
          </w:p>
        </w:tc>
        <w:tc>
          <w:tcPr>
            <w:tcW w:w="2520" w:type="dxa"/>
            <w:vAlign w:val="center"/>
          </w:tcPr>
          <w:p>
            <w:pPr>
              <w:jc w:val="center"/>
              <w:rPr>
                <w:rFonts w:ascii="宋体" w:hAnsi="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ascii="宋体" w:hAnsi="宋体"/>
                <w:color w:val="auto"/>
                <w:szCs w:val="21"/>
              </w:rPr>
            </w:pPr>
            <w:r>
              <w:rPr>
                <w:rFonts w:hint="eastAsia" w:ascii="宋体" w:hAnsi="宋体"/>
                <w:color w:val="auto"/>
                <w:szCs w:val="21"/>
              </w:rPr>
              <w:t>……</w:t>
            </w:r>
          </w:p>
        </w:tc>
        <w:tc>
          <w:tcPr>
            <w:tcW w:w="2746" w:type="dxa"/>
            <w:vAlign w:val="center"/>
          </w:tcPr>
          <w:p>
            <w:pPr>
              <w:jc w:val="center"/>
              <w:rPr>
                <w:rFonts w:ascii="宋体" w:hAnsi="宋体"/>
                <w:color w:val="auto"/>
                <w:szCs w:val="21"/>
              </w:rPr>
            </w:pPr>
          </w:p>
        </w:tc>
        <w:tc>
          <w:tcPr>
            <w:tcW w:w="2730" w:type="dxa"/>
            <w:vAlign w:val="center"/>
          </w:tcPr>
          <w:p>
            <w:pPr>
              <w:jc w:val="center"/>
              <w:rPr>
                <w:rFonts w:ascii="宋体" w:hAnsi="宋体"/>
                <w:color w:val="auto"/>
                <w:szCs w:val="21"/>
              </w:rPr>
            </w:pPr>
          </w:p>
        </w:tc>
        <w:tc>
          <w:tcPr>
            <w:tcW w:w="2520" w:type="dxa"/>
            <w:vAlign w:val="center"/>
          </w:tcPr>
          <w:p>
            <w:pPr>
              <w:jc w:val="center"/>
              <w:rPr>
                <w:rFonts w:ascii="宋体" w:hAnsi="宋体"/>
                <w:color w:val="auto"/>
                <w:szCs w:val="21"/>
              </w:rPr>
            </w:pPr>
          </w:p>
        </w:tc>
      </w:tr>
    </w:tbl>
    <w:p>
      <w:pPr>
        <w:rPr>
          <w:bCs/>
          <w:color w:val="auto"/>
          <w:szCs w:val="21"/>
        </w:rPr>
      </w:pPr>
      <w:r>
        <w:rPr>
          <w:rFonts w:hint="eastAsia"/>
          <w:bCs/>
          <w:color w:val="auto"/>
          <w:szCs w:val="21"/>
        </w:rPr>
        <w:t>说明：</w:t>
      </w:r>
      <w:r>
        <w:rPr>
          <w:rFonts w:hint="eastAsia"/>
          <w:bCs/>
          <w:color w:val="auto"/>
          <w:szCs w:val="21"/>
        </w:rPr>
        <w:tab/>
      </w:r>
      <w:r>
        <w:rPr>
          <w:rFonts w:hint="eastAsia"/>
          <w:bCs/>
          <w:color w:val="auto"/>
          <w:szCs w:val="21"/>
        </w:rPr>
        <w:t>1.报价人/响应供应商必须对应磋商文件“采购项目技术规格、参数及要求”的内容逐条响应。如有缺漏，缺漏项视同不符合招标/谈判要求。打“</w:t>
      </w:r>
      <w:r>
        <w:rPr>
          <w:rFonts w:hint="eastAsia" w:ascii="宋体" w:hAnsi="宋体" w:cs="宋体"/>
          <w:bCs/>
          <w:color w:val="auto"/>
          <w:sz w:val="24"/>
          <w:szCs w:val="24"/>
        </w:rPr>
        <w:t>★</w:t>
      </w:r>
      <w:r>
        <w:rPr>
          <w:rFonts w:hint="eastAsia"/>
          <w:bCs/>
          <w:color w:val="auto"/>
          <w:szCs w:val="21"/>
        </w:rPr>
        <w:t>”项为不可负偏离(劣于)的重要项。</w:t>
      </w:r>
    </w:p>
    <w:p>
      <w:pPr>
        <w:rPr>
          <w:bCs/>
          <w:color w:val="auto"/>
          <w:szCs w:val="21"/>
        </w:rPr>
      </w:pPr>
      <w:r>
        <w:rPr>
          <w:rFonts w:hint="eastAsia"/>
          <w:bCs/>
          <w:color w:val="auto"/>
          <w:szCs w:val="21"/>
        </w:rPr>
        <w:t>2.报价人/响应供应商响应采购需求应具体、明确，含糊不清、不确切或伪造、变造证明材料的，按照不完全响应或者完全不响应处理。构成提供虚假材料的，移送监管部门查处。</w:t>
      </w:r>
    </w:p>
    <w:p>
      <w:pPr>
        <w:rPr>
          <w:bCs/>
          <w:color w:val="auto"/>
          <w:sz w:val="24"/>
          <w:szCs w:val="24"/>
        </w:rPr>
      </w:pPr>
      <w:r>
        <w:rPr>
          <w:rFonts w:hint="eastAsia"/>
          <w:bCs/>
          <w:color w:val="auto"/>
          <w:szCs w:val="21"/>
        </w:rPr>
        <w:t>3.本表内容不得擅自修改。</w:t>
      </w:r>
    </w:p>
    <w:p>
      <w:pPr>
        <w:pStyle w:val="2"/>
        <w:spacing w:line="480" w:lineRule="exact"/>
        <w:rPr>
          <w:rFonts w:hAnsi="宋体"/>
          <w:b w:val="0"/>
          <w:color w:val="auto"/>
          <w:szCs w:val="21"/>
        </w:rPr>
      </w:pPr>
    </w:p>
    <w:p>
      <w:pPr>
        <w:pStyle w:val="14"/>
        <w:spacing w:line="480" w:lineRule="exact"/>
        <w:ind w:firstLine="5373" w:firstLineChars="2559"/>
        <w:rPr>
          <w:rFonts w:hAnsi="宋体"/>
          <w:color w:val="auto"/>
        </w:rPr>
      </w:pPr>
      <w:r>
        <w:rPr>
          <w:rFonts w:hint="eastAsia" w:hAnsi="宋体"/>
          <w:color w:val="auto"/>
        </w:rPr>
        <w:t>报价人（公章）：</w:t>
      </w:r>
    </w:p>
    <w:p>
      <w:pPr>
        <w:pStyle w:val="14"/>
        <w:spacing w:line="480" w:lineRule="exact"/>
        <w:ind w:firstLine="5373" w:firstLineChars="2559"/>
        <w:rPr>
          <w:rFonts w:hAnsi="宋体"/>
          <w:color w:val="auto"/>
        </w:rPr>
      </w:pPr>
      <w:r>
        <w:rPr>
          <w:rFonts w:hint="eastAsia" w:hAnsi="宋体"/>
          <w:color w:val="auto"/>
        </w:rPr>
        <w:t>授权代表（签名）：</w:t>
      </w:r>
    </w:p>
    <w:p>
      <w:pPr>
        <w:spacing w:line="480" w:lineRule="exact"/>
        <w:ind w:firstLine="5373" w:firstLineChars="2559"/>
        <w:jc w:val="both"/>
        <w:rPr>
          <w:rFonts w:ascii="宋体" w:hAnsi="宋体"/>
          <w:color w:val="auto"/>
        </w:rPr>
      </w:pPr>
      <w:r>
        <w:rPr>
          <w:rFonts w:hint="eastAsia" w:ascii="宋体" w:hAnsi="宋体"/>
          <w:color w:val="auto"/>
        </w:rPr>
        <w:t>日期：</w:t>
      </w:r>
    </w:p>
    <w:p>
      <w:pPr>
        <w:pStyle w:val="14"/>
        <w:spacing w:line="360" w:lineRule="auto"/>
        <w:ind w:firstLine="403" w:firstLineChars="192"/>
        <w:rPr>
          <w:rFonts w:hAnsi="宋体"/>
          <w:color w:val="auto"/>
          <w:szCs w:val="21"/>
        </w:rPr>
      </w:pPr>
      <w:r>
        <w:rPr>
          <w:rFonts w:hAnsi="宋体"/>
          <w:color w:val="auto"/>
        </w:rPr>
        <w:br w:type="page"/>
      </w:r>
      <w:r>
        <w:rPr>
          <w:rFonts w:hint="eastAsia"/>
          <w:b/>
          <w:color w:val="auto"/>
          <w:sz w:val="24"/>
          <w:szCs w:val="24"/>
        </w:rPr>
        <w:t>（2）一般</w:t>
      </w:r>
      <w:r>
        <w:rPr>
          <w:rFonts w:hint="eastAsia"/>
          <w:b/>
          <w:color w:val="auto"/>
          <w:sz w:val="24"/>
          <w:szCs w:val="24"/>
          <w:lang w:eastAsia="zh-CN"/>
        </w:rPr>
        <w:t>技术</w:t>
      </w:r>
      <w:r>
        <w:rPr>
          <w:rFonts w:hint="eastAsia"/>
          <w:b/>
          <w:color w:val="auto"/>
          <w:sz w:val="24"/>
          <w:szCs w:val="24"/>
        </w:rPr>
        <w:t>服务需求响应表</w:t>
      </w:r>
    </w:p>
    <w:tbl>
      <w:tblPr>
        <w:tblStyle w:val="30"/>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b/>
                <w:color w:val="auto"/>
                <w:szCs w:val="21"/>
              </w:rPr>
            </w:pPr>
            <w:r>
              <w:rPr>
                <w:rFonts w:hint="eastAsia" w:ascii="宋体" w:hAnsi="宋体"/>
                <w:b/>
                <w:color w:val="auto"/>
                <w:szCs w:val="21"/>
              </w:rPr>
              <w:t>序号</w:t>
            </w:r>
          </w:p>
        </w:tc>
        <w:tc>
          <w:tcPr>
            <w:tcW w:w="1716" w:type="dxa"/>
            <w:vAlign w:val="center"/>
          </w:tcPr>
          <w:p>
            <w:pPr>
              <w:spacing w:line="360" w:lineRule="auto"/>
              <w:jc w:val="center"/>
              <w:rPr>
                <w:rFonts w:ascii="宋体" w:hAnsi="宋体"/>
                <w:b/>
                <w:color w:val="auto"/>
                <w:szCs w:val="21"/>
              </w:rPr>
            </w:pPr>
            <w:r>
              <w:rPr>
                <w:rFonts w:hint="eastAsia" w:ascii="宋体" w:hAnsi="宋体"/>
                <w:b/>
                <w:color w:val="auto"/>
                <w:szCs w:val="21"/>
              </w:rPr>
              <w:t>招标要求</w:t>
            </w:r>
          </w:p>
        </w:tc>
        <w:tc>
          <w:tcPr>
            <w:tcW w:w="3207" w:type="dxa"/>
            <w:vAlign w:val="center"/>
          </w:tcPr>
          <w:p>
            <w:pPr>
              <w:spacing w:line="360" w:lineRule="auto"/>
              <w:jc w:val="center"/>
              <w:rPr>
                <w:rFonts w:ascii="宋体" w:hAnsi="宋体"/>
                <w:b/>
                <w:color w:val="auto"/>
                <w:szCs w:val="21"/>
              </w:rPr>
            </w:pPr>
            <w:r>
              <w:rPr>
                <w:rFonts w:hint="eastAsia"/>
                <w:b/>
                <w:bCs/>
                <w:color w:val="auto"/>
                <w:szCs w:val="21"/>
              </w:rPr>
              <w:t>投标/响应</w:t>
            </w:r>
            <w:r>
              <w:rPr>
                <w:rFonts w:hint="eastAsia"/>
                <w:b/>
                <w:bCs/>
                <w:color w:val="auto"/>
                <w:szCs w:val="21"/>
                <w:lang w:eastAsia="zh-CN"/>
              </w:rPr>
              <w:t>技术</w:t>
            </w:r>
            <w:r>
              <w:rPr>
                <w:rFonts w:hint="eastAsia"/>
                <w:b/>
                <w:bCs/>
                <w:color w:val="auto"/>
                <w:szCs w:val="21"/>
              </w:rPr>
              <w:t>服务实际情况</w:t>
            </w:r>
          </w:p>
        </w:tc>
        <w:tc>
          <w:tcPr>
            <w:tcW w:w="1890" w:type="dxa"/>
            <w:vAlign w:val="center"/>
          </w:tcPr>
          <w:p>
            <w:pPr>
              <w:spacing w:line="360" w:lineRule="auto"/>
              <w:jc w:val="center"/>
              <w:rPr>
                <w:rFonts w:ascii="宋体" w:hAnsi="宋体"/>
                <w:b/>
                <w:color w:val="auto"/>
                <w:szCs w:val="21"/>
              </w:rPr>
            </w:pPr>
            <w:r>
              <w:rPr>
                <w:rFonts w:hint="eastAsia" w:ascii="宋体" w:hAnsi="宋体"/>
                <w:b/>
                <w:color w:val="auto"/>
                <w:szCs w:val="21"/>
              </w:rPr>
              <w:t>是否偏离（无偏离/正偏离/负偏离）</w:t>
            </w:r>
          </w:p>
        </w:tc>
        <w:tc>
          <w:tcPr>
            <w:tcW w:w="1157" w:type="dxa"/>
            <w:vAlign w:val="center"/>
          </w:tcPr>
          <w:p>
            <w:pPr>
              <w:spacing w:line="360" w:lineRule="auto"/>
              <w:jc w:val="center"/>
              <w:rPr>
                <w:rFonts w:ascii="宋体" w:hAnsi="宋体"/>
                <w:b/>
                <w:color w:val="auto"/>
                <w:szCs w:val="21"/>
              </w:rPr>
            </w:pPr>
            <w:r>
              <w:rPr>
                <w:rFonts w:hint="eastAsia" w:ascii="宋体" w:hAnsi="宋体"/>
                <w:b/>
                <w:color w:val="auto"/>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auto"/>
                <w:szCs w:val="21"/>
              </w:rPr>
            </w:pPr>
            <w:r>
              <w:rPr>
                <w:rFonts w:hint="eastAsia" w:ascii="宋体" w:hAnsi="宋体"/>
                <w:color w:val="auto"/>
                <w:szCs w:val="21"/>
              </w:rPr>
              <w:t>1</w:t>
            </w:r>
          </w:p>
        </w:tc>
        <w:tc>
          <w:tcPr>
            <w:tcW w:w="1716" w:type="dxa"/>
            <w:vAlign w:val="center"/>
          </w:tcPr>
          <w:p>
            <w:pPr>
              <w:spacing w:line="360" w:lineRule="auto"/>
              <w:jc w:val="center"/>
              <w:rPr>
                <w:rFonts w:ascii="宋体" w:hAnsi="宋体"/>
                <w:color w:val="auto"/>
                <w:szCs w:val="21"/>
              </w:rPr>
            </w:pPr>
          </w:p>
        </w:tc>
        <w:tc>
          <w:tcPr>
            <w:tcW w:w="3207" w:type="dxa"/>
            <w:vAlign w:val="center"/>
          </w:tcPr>
          <w:p>
            <w:pPr>
              <w:spacing w:line="360" w:lineRule="auto"/>
              <w:jc w:val="center"/>
              <w:rPr>
                <w:rFonts w:ascii="宋体" w:hAnsi="宋体"/>
                <w:color w:val="auto"/>
                <w:szCs w:val="21"/>
              </w:rPr>
            </w:pPr>
          </w:p>
        </w:tc>
        <w:tc>
          <w:tcPr>
            <w:tcW w:w="1890" w:type="dxa"/>
            <w:vAlign w:val="center"/>
          </w:tcPr>
          <w:p>
            <w:pPr>
              <w:spacing w:line="360" w:lineRule="auto"/>
              <w:jc w:val="center"/>
              <w:rPr>
                <w:rFonts w:ascii="宋体" w:hAnsi="宋体"/>
                <w:color w:val="auto"/>
                <w:szCs w:val="21"/>
              </w:rPr>
            </w:pPr>
          </w:p>
        </w:tc>
        <w:tc>
          <w:tcPr>
            <w:tcW w:w="1157" w:type="dxa"/>
            <w:vAlign w:val="center"/>
          </w:tcPr>
          <w:p>
            <w:pPr>
              <w:spacing w:line="360" w:lineRule="auto"/>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auto"/>
                <w:szCs w:val="21"/>
              </w:rPr>
            </w:pPr>
            <w:r>
              <w:rPr>
                <w:rFonts w:hint="eastAsia" w:ascii="宋体" w:hAnsi="宋体"/>
                <w:color w:val="auto"/>
                <w:szCs w:val="21"/>
              </w:rPr>
              <w:t>2</w:t>
            </w:r>
          </w:p>
        </w:tc>
        <w:tc>
          <w:tcPr>
            <w:tcW w:w="1716" w:type="dxa"/>
            <w:vAlign w:val="center"/>
          </w:tcPr>
          <w:p>
            <w:pPr>
              <w:spacing w:line="360" w:lineRule="auto"/>
              <w:jc w:val="center"/>
              <w:rPr>
                <w:rFonts w:ascii="宋体" w:hAnsi="宋体"/>
                <w:color w:val="auto"/>
                <w:szCs w:val="21"/>
              </w:rPr>
            </w:pPr>
          </w:p>
        </w:tc>
        <w:tc>
          <w:tcPr>
            <w:tcW w:w="3207" w:type="dxa"/>
            <w:vAlign w:val="center"/>
          </w:tcPr>
          <w:p>
            <w:pPr>
              <w:spacing w:line="360" w:lineRule="auto"/>
              <w:jc w:val="center"/>
              <w:rPr>
                <w:rFonts w:ascii="宋体" w:hAnsi="宋体"/>
                <w:color w:val="auto"/>
                <w:szCs w:val="21"/>
              </w:rPr>
            </w:pPr>
          </w:p>
        </w:tc>
        <w:tc>
          <w:tcPr>
            <w:tcW w:w="1890" w:type="dxa"/>
            <w:vAlign w:val="center"/>
          </w:tcPr>
          <w:p>
            <w:pPr>
              <w:spacing w:line="360" w:lineRule="auto"/>
              <w:jc w:val="center"/>
              <w:rPr>
                <w:rFonts w:ascii="宋体" w:hAnsi="宋体"/>
                <w:color w:val="auto"/>
                <w:szCs w:val="21"/>
              </w:rPr>
            </w:pPr>
          </w:p>
        </w:tc>
        <w:tc>
          <w:tcPr>
            <w:tcW w:w="1157" w:type="dxa"/>
            <w:vAlign w:val="center"/>
          </w:tcPr>
          <w:p>
            <w:pPr>
              <w:spacing w:line="360" w:lineRule="auto"/>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auto"/>
                <w:szCs w:val="21"/>
              </w:rPr>
            </w:pPr>
            <w:r>
              <w:rPr>
                <w:rFonts w:hint="eastAsia" w:ascii="宋体" w:hAnsi="宋体"/>
                <w:color w:val="auto"/>
                <w:szCs w:val="21"/>
              </w:rPr>
              <w:t>3</w:t>
            </w:r>
          </w:p>
        </w:tc>
        <w:tc>
          <w:tcPr>
            <w:tcW w:w="1716" w:type="dxa"/>
            <w:vAlign w:val="center"/>
          </w:tcPr>
          <w:p>
            <w:pPr>
              <w:spacing w:line="360" w:lineRule="auto"/>
              <w:jc w:val="center"/>
              <w:rPr>
                <w:rFonts w:ascii="宋体" w:hAnsi="宋体"/>
                <w:color w:val="auto"/>
                <w:szCs w:val="21"/>
              </w:rPr>
            </w:pPr>
          </w:p>
        </w:tc>
        <w:tc>
          <w:tcPr>
            <w:tcW w:w="3207" w:type="dxa"/>
            <w:vAlign w:val="center"/>
          </w:tcPr>
          <w:p>
            <w:pPr>
              <w:spacing w:line="360" w:lineRule="auto"/>
              <w:jc w:val="center"/>
              <w:rPr>
                <w:rFonts w:ascii="宋体" w:hAnsi="宋体"/>
                <w:color w:val="auto"/>
                <w:szCs w:val="21"/>
              </w:rPr>
            </w:pPr>
          </w:p>
        </w:tc>
        <w:tc>
          <w:tcPr>
            <w:tcW w:w="1890" w:type="dxa"/>
            <w:vAlign w:val="center"/>
          </w:tcPr>
          <w:p>
            <w:pPr>
              <w:spacing w:line="360" w:lineRule="auto"/>
              <w:jc w:val="center"/>
              <w:rPr>
                <w:rFonts w:ascii="宋体" w:hAnsi="宋体"/>
                <w:color w:val="auto"/>
                <w:szCs w:val="21"/>
              </w:rPr>
            </w:pPr>
          </w:p>
        </w:tc>
        <w:tc>
          <w:tcPr>
            <w:tcW w:w="1157" w:type="dxa"/>
            <w:vAlign w:val="center"/>
          </w:tcPr>
          <w:p>
            <w:pPr>
              <w:spacing w:line="360" w:lineRule="auto"/>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auto"/>
                <w:szCs w:val="21"/>
              </w:rPr>
            </w:pPr>
            <w:r>
              <w:rPr>
                <w:rFonts w:hint="eastAsia" w:ascii="宋体" w:hAnsi="宋体"/>
                <w:color w:val="auto"/>
                <w:szCs w:val="21"/>
              </w:rPr>
              <w:t>4</w:t>
            </w:r>
          </w:p>
        </w:tc>
        <w:tc>
          <w:tcPr>
            <w:tcW w:w="1716" w:type="dxa"/>
            <w:vAlign w:val="center"/>
          </w:tcPr>
          <w:p>
            <w:pPr>
              <w:spacing w:line="360" w:lineRule="auto"/>
              <w:jc w:val="center"/>
              <w:rPr>
                <w:rFonts w:ascii="宋体" w:hAnsi="宋体"/>
                <w:color w:val="auto"/>
                <w:szCs w:val="21"/>
              </w:rPr>
            </w:pPr>
          </w:p>
        </w:tc>
        <w:tc>
          <w:tcPr>
            <w:tcW w:w="3207" w:type="dxa"/>
            <w:vAlign w:val="center"/>
          </w:tcPr>
          <w:p>
            <w:pPr>
              <w:spacing w:line="360" w:lineRule="auto"/>
              <w:jc w:val="center"/>
              <w:rPr>
                <w:rFonts w:ascii="宋体" w:hAnsi="宋体"/>
                <w:color w:val="auto"/>
                <w:szCs w:val="21"/>
              </w:rPr>
            </w:pPr>
          </w:p>
        </w:tc>
        <w:tc>
          <w:tcPr>
            <w:tcW w:w="1890" w:type="dxa"/>
            <w:vAlign w:val="center"/>
          </w:tcPr>
          <w:p>
            <w:pPr>
              <w:spacing w:line="360" w:lineRule="auto"/>
              <w:jc w:val="center"/>
              <w:rPr>
                <w:rFonts w:ascii="宋体" w:hAnsi="宋体"/>
                <w:color w:val="auto"/>
                <w:szCs w:val="21"/>
              </w:rPr>
            </w:pPr>
          </w:p>
        </w:tc>
        <w:tc>
          <w:tcPr>
            <w:tcW w:w="1157" w:type="dxa"/>
            <w:vAlign w:val="center"/>
          </w:tcPr>
          <w:p>
            <w:pPr>
              <w:spacing w:line="360" w:lineRule="auto"/>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auto"/>
                <w:szCs w:val="21"/>
              </w:rPr>
            </w:pPr>
            <w:r>
              <w:rPr>
                <w:rFonts w:hint="eastAsia" w:ascii="宋体" w:hAnsi="宋体"/>
                <w:color w:val="auto"/>
                <w:szCs w:val="21"/>
              </w:rPr>
              <w:t>5</w:t>
            </w:r>
          </w:p>
        </w:tc>
        <w:tc>
          <w:tcPr>
            <w:tcW w:w="1716" w:type="dxa"/>
            <w:vAlign w:val="center"/>
          </w:tcPr>
          <w:p>
            <w:pPr>
              <w:spacing w:line="360" w:lineRule="auto"/>
              <w:jc w:val="center"/>
              <w:rPr>
                <w:rFonts w:ascii="宋体" w:hAnsi="宋体"/>
                <w:color w:val="auto"/>
                <w:szCs w:val="21"/>
              </w:rPr>
            </w:pPr>
          </w:p>
        </w:tc>
        <w:tc>
          <w:tcPr>
            <w:tcW w:w="3207" w:type="dxa"/>
            <w:vAlign w:val="center"/>
          </w:tcPr>
          <w:p>
            <w:pPr>
              <w:spacing w:line="360" w:lineRule="auto"/>
              <w:jc w:val="center"/>
              <w:rPr>
                <w:rFonts w:ascii="宋体" w:hAnsi="宋体"/>
                <w:color w:val="auto"/>
                <w:szCs w:val="21"/>
              </w:rPr>
            </w:pPr>
          </w:p>
        </w:tc>
        <w:tc>
          <w:tcPr>
            <w:tcW w:w="1890" w:type="dxa"/>
            <w:vAlign w:val="center"/>
          </w:tcPr>
          <w:p>
            <w:pPr>
              <w:spacing w:line="360" w:lineRule="auto"/>
              <w:jc w:val="center"/>
              <w:rPr>
                <w:rFonts w:ascii="宋体" w:hAnsi="宋体"/>
                <w:color w:val="auto"/>
                <w:szCs w:val="21"/>
              </w:rPr>
            </w:pPr>
          </w:p>
        </w:tc>
        <w:tc>
          <w:tcPr>
            <w:tcW w:w="1157" w:type="dxa"/>
            <w:vAlign w:val="center"/>
          </w:tcPr>
          <w:p>
            <w:pPr>
              <w:spacing w:line="360" w:lineRule="auto"/>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auto"/>
                <w:szCs w:val="21"/>
              </w:rPr>
            </w:pPr>
            <w:r>
              <w:rPr>
                <w:rFonts w:hint="eastAsia" w:ascii="宋体" w:hAnsi="宋体"/>
                <w:color w:val="auto"/>
                <w:szCs w:val="21"/>
              </w:rPr>
              <w:t>6</w:t>
            </w:r>
          </w:p>
        </w:tc>
        <w:tc>
          <w:tcPr>
            <w:tcW w:w="1716" w:type="dxa"/>
            <w:vAlign w:val="center"/>
          </w:tcPr>
          <w:p>
            <w:pPr>
              <w:spacing w:line="360" w:lineRule="auto"/>
              <w:jc w:val="center"/>
              <w:rPr>
                <w:rFonts w:ascii="宋体" w:hAnsi="宋体"/>
                <w:color w:val="auto"/>
                <w:szCs w:val="21"/>
              </w:rPr>
            </w:pPr>
          </w:p>
        </w:tc>
        <w:tc>
          <w:tcPr>
            <w:tcW w:w="3207" w:type="dxa"/>
            <w:vAlign w:val="center"/>
          </w:tcPr>
          <w:p>
            <w:pPr>
              <w:spacing w:line="360" w:lineRule="auto"/>
              <w:jc w:val="center"/>
              <w:rPr>
                <w:rFonts w:ascii="宋体" w:hAnsi="宋体"/>
                <w:color w:val="auto"/>
                <w:szCs w:val="21"/>
              </w:rPr>
            </w:pPr>
          </w:p>
        </w:tc>
        <w:tc>
          <w:tcPr>
            <w:tcW w:w="1890" w:type="dxa"/>
            <w:vAlign w:val="center"/>
          </w:tcPr>
          <w:p>
            <w:pPr>
              <w:spacing w:line="360" w:lineRule="auto"/>
              <w:jc w:val="center"/>
              <w:rPr>
                <w:rFonts w:ascii="宋体" w:hAnsi="宋体"/>
                <w:color w:val="auto"/>
                <w:szCs w:val="21"/>
              </w:rPr>
            </w:pPr>
          </w:p>
        </w:tc>
        <w:tc>
          <w:tcPr>
            <w:tcW w:w="1157" w:type="dxa"/>
            <w:vAlign w:val="center"/>
          </w:tcPr>
          <w:p>
            <w:pPr>
              <w:spacing w:line="360" w:lineRule="auto"/>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auto"/>
                <w:szCs w:val="21"/>
              </w:rPr>
            </w:pPr>
            <w:r>
              <w:rPr>
                <w:rFonts w:hint="eastAsia" w:ascii="宋体" w:hAnsi="宋体"/>
                <w:color w:val="auto"/>
                <w:szCs w:val="21"/>
              </w:rPr>
              <w:t>7</w:t>
            </w:r>
          </w:p>
        </w:tc>
        <w:tc>
          <w:tcPr>
            <w:tcW w:w="1716" w:type="dxa"/>
            <w:vAlign w:val="center"/>
          </w:tcPr>
          <w:p>
            <w:pPr>
              <w:spacing w:line="360" w:lineRule="auto"/>
              <w:jc w:val="center"/>
              <w:rPr>
                <w:rFonts w:ascii="宋体" w:hAnsi="宋体"/>
                <w:color w:val="auto"/>
                <w:szCs w:val="21"/>
              </w:rPr>
            </w:pPr>
          </w:p>
        </w:tc>
        <w:tc>
          <w:tcPr>
            <w:tcW w:w="3207" w:type="dxa"/>
            <w:vAlign w:val="center"/>
          </w:tcPr>
          <w:p>
            <w:pPr>
              <w:spacing w:line="360" w:lineRule="auto"/>
              <w:jc w:val="center"/>
              <w:rPr>
                <w:rFonts w:ascii="宋体" w:hAnsi="宋体"/>
                <w:color w:val="auto"/>
                <w:szCs w:val="21"/>
              </w:rPr>
            </w:pPr>
          </w:p>
        </w:tc>
        <w:tc>
          <w:tcPr>
            <w:tcW w:w="1890" w:type="dxa"/>
            <w:vAlign w:val="center"/>
          </w:tcPr>
          <w:p>
            <w:pPr>
              <w:spacing w:line="360" w:lineRule="auto"/>
              <w:jc w:val="center"/>
              <w:rPr>
                <w:rFonts w:ascii="宋体" w:hAnsi="宋体"/>
                <w:color w:val="auto"/>
                <w:szCs w:val="21"/>
              </w:rPr>
            </w:pPr>
          </w:p>
        </w:tc>
        <w:tc>
          <w:tcPr>
            <w:tcW w:w="1157" w:type="dxa"/>
            <w:vAlign w:val="center"/>
          </w:tcPr>
          <w:p>
            <w:pPr>
              <w:spacing w:line="360" w:lineRule="auto"/>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auto"/>
                <w:szCs w:val="21"/>
              </w:rPr>
            </w:pPr>
            <w:r>
              <w:rPr>
                <w:rFonts w:hint="eastAsia" w:ascii="宋体" w:hAnsi="宋体"/>
                <w:color w:val="auto"/>
                <w:szCs w:val="21"/>
              </w:rPr>
              <w:t>8</w:t>
            </w:r>
          </w:p>
        </w:tc>
        <w:tc>
          <w:tcPr>
            <w:tcW w:w="1716" w:type="dxa"/>
            <w:vAlign w:val="center"/>
          </w:tcPr>
          <w:p>
            <w:pPr>
              <w:spacing w:line="360" w:lineRule="auto"/>
              <w:jc w:val="center"/>
              <w:rPr>
                <w:rFonts w:ascii="宋体" w:hAnsi="宋体"/>
                <w:color w:val="auto"/>
                <w:szCs w:val="21"/>
              </w:rPr>
            </w:pPr>
          </w:p>
        </w:tc>
        <w:tc>
          <w:tcPr>
            <w:tcW w:w="3207" w:type="dxa"/>
            <w:vAlign w:val="center"/>
          </w:tcPr>
          <w:p>
            <w:pPr>
              <w:spacing w:line="360" w:lineRule="auto"/>
              <w:jc w:val="center"/>
              <w:rPr>
                <w:rFonts w:ascii="宋体" w:hAnsi="宋体"/>
                <w:color w:val="auto"/>
                <w:szCs w:val="21"/>
              </w:rPr>
            </w:pPr>
          </w:p>
        </w:tc>
        <w:tc>
          <w:tcPr>
            <w:tcW w:w="1890" w:type="dxa"/>
            <w:vAlign w:val="center"/>
          </w:tcPr>
          <w:p>
            <w:pPr>
              <w:spacing w:line="360" w:lineRule="auto"/>
              <w:jc w:val="center"/>
              <w:rPr>
                <w:rFonts w:ascii="宋体" w:hAnsi="宋体"/>
                <w:color w:val="auto"/>
                <w:szCs w:val="21"/>
              </w:rPr>
            </w:pPr>
          </w:p>
        </w:tc>
        <w:tc>
          <w:tcPr>
            <w:tcW w:w="1157" w:type="dxa"/>
            <w:vAlign w:val="center"/>
          </w:tcPr>
          <w:p>
            <w:pPr>
              <w:spacing w:line="360" w:lineRule="auto"/>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ascii="宋体" w:hAnsi="宋体"/>
                <w:color w:val="auto"/>
                <w:szCs w:val="21"/>
              </w:rPr>
            </w:pPr>
            <w:r>
              <w:rPr>
                <w:rFonts w:hint="eastAsia" w:ascii="宋体" w:hAnsi="宋体"/>
                <w:color w:val="auto"/>
                <w:szCs w:val="21"/>
              </w:rPr>
              <w:t>…</w:t>
            </w:r>
          </w:p>
        </w:tc>
        <w:tc>
          <w:tcPr>
            <w:tcW w:w="1716" w:type="dxa"/>
            <w:vAlign w:val="center"/>
          </w:tcPr>
          <w:p>
            <w:pPr>
              <w:spacing w:line="360" w:lineRule="auto"/>
              <w:jc w:val="center"/>
              <w:rPr>
                <w:rFonts w:ascii="宋体" w:hAnsi="宋体"/>
                <w:color w:val="auto"/>
                <w:szCs w:val="21"/>
              </w:rPr>
            </w:pPr>
          </w:p>
        </w:tc>
        <w:tc>
          <w:tcPr>
            <w:tcW w:w="3207" w:type="dxa"/>
            <w:vAlign w:val="center"/>
          </w:tcPr>
          <w:p>
            <w:pPr>
              <w:spacing w:line="360" w:lineRule="auto"/>
              <w:jc w:val="center"/>
              <w:rPr>
                <w:rFonts w:ascii="宋体" w:hAnsi="宋体"/>
                <w:color w:val="auto"/>
                <w:szCs w:val="21"/>
              </w:rPr>
            </w:pPr>
          </w:p>
        </w:tc>
        <w:tc>
          <w:tcPr>
            <w:tcW w:w="1890" w:type="dxa"/>
            <w:vAlign w:val="center"/>
          </w:tcPr>
          <w:p>
            <w:pPr>
              <w:spacing w:line="360" w:lineRule="auto"/>
              <w:jc w:val="center"/>
              <w:rPr>
                <w:rFonts w:ascii="宋体" w:hAnsi="宋体"/>
                <w:color w:val="auto"/>
                <w:szCs w:val="21"/>
              </w:rPr>
            </w:pPr>
          </w:p>
        </w:tc>
        <w:tc>
          <w:tcPr>
            <w:tcW w:w="1157" w:type="dxa"/>
            <w:vAlign w:val="center"/>
          </w:tcPr>
          <w:p>
            <w:pPr>
              <w:spacing w:line="360" w:lineRule="auto"/>
              <w:jc w:val="center"/>
              <w:rPr>
                <w:rFonts w:ascii="宋体" w:hAnsi="宋体"/>
                <w:color w:val="auto"/>
                <w:szCs w:val="21"/>
              </w:rPr>
            </w:pPr>
          </w:p>
        </w:tc>
      </w:tr>
    </w:tbl>
    <w:p>
      <w:pPr>
        <w:spacing w:line="360" w:lineRule="auto"/>
        <w:rPr>
          <w:rFonts w:ascii="宋体" w:hAnsi="宋体"/>
          <w:color w:val="auto"/>
          <w:szCs w:val="21"/>
        </w:rPr>
      </w:pPr>
      <w:r>
        <w:rPr>
          <w:rFonts w:hint="eastAsia" w:ascii="宋体" w:hAnsi="宋体"/>
          <w:color w:val="auto"/>
          <w:szCs w:val="21"/>
        </w:rPr>
        <w:t>注：</w:t>
      </w:r>
    </w:p>
    <w:p>
      <w:pPr>
        <w:spacing w:line="360" w:lineRule="auto"/>
        <w:rPr>
          <w:rFonts w:ascii="宋体" w:hAnsi="宋体"/>
          <w:color w:val="auto"/>
          <w:szCs w:val="21"/>
          <w:lang w:val="en-GB"/>
        </w:rPr>
      </w:pPr>
      <w:r>
        <w:rPr>
          <w:rFonts w:hint="eastAsia" w:ascii="宋体" w:hAnsi="宋体"/>
          <w:color w:val="auto"/>
          <w:szCs w:val="21"/>
        </w:rPr>
        <w:t>1、报价人须对应磋商文件“用户需求书”中的内容逐条响应。如有缺漏，缺漏项视同不符合磋商要求。</w:t>
      </w:r>
    </w:p>
    <w:p>
      <w:pPr>
        <w:spacing w:line="360" w:lineRule="auto"/>
        <w:rPr>
          <w:rFonts w:ascii="宋体" w:hAnsi="宋体"/>
          <w:color w:val="auto"/>
          <w:szCs w:val="21"/>
        </w:rPr>
      </w:pPr>
      <w:r>
        <w:rPr>
          <w:rFonts w:hint="eastAsia" w:ascii="宋体" w:hAnsi="宋体"/>
          <w:color w:val="auto"/>
          <w:szCs w:val="21"/>
          <w:lang w:val="en-GB"/>
        </w:rPr>
        <w:t>2、</w:t>
      </w:r>
      <w:r>
        <w:rPr>
          <w:rFonts w:hint="eastAsia" w:ascii="宋体" w:hAnsi="宋体"/>
          <w:color w:val="auto"/>
          <w:szCs w:val="21"/>
        </w:rPr>
        <w:t>报价人响应采购需求应具体、明确，含糊不清、不确切或伪造、变造证明材料的，按照不完全响应或者完全不响应处理。构成提供虚假材料的，移送监管部门查处。</w:t>
      </w:r>
    </w:p>
    <w:p>
      <w:pPr>
        <w:spacing w:line="360" w:lineRule="auto"/>
        <w:rPr>
          <w:rFonts w:ascii="宋体" w:hAnsi="宋体"/>
          <w:color w:val="auto"/>
          <w:szCs w:val="21"/>
        </w:rPr>
      </w:pPr>
      <w:r>
        <w:rPr>
          <w:rFonts w:hint="eastAsia" w:ascii="宋体" w:hAnsi="宋体"/>
          <w:color w:val="auto"/>
          <w:szCs w:val="21"/>
          <w:lang w:val="en-GB"/>
        </w:rPr>
        <w:t>3、本表内容不得擅自修改。</w:t>
      </w:r>
    </w:p>
    <w:p>
      <w:pPr>
        <w:spacing w:line="360" w:lineRule="auto"/>
        <w:rPr>
          <w:rFonts w:ascii="宋体" w:hAnsi="宋体"/>
          <w:color w:val="auto"/>
          <w:szCs w:val="21"/>
        </w:rPr>
      </w:pPr>
    </w:p>
    <w:p>
      <w:pPr>
        <w:pStyle w:val="14"/>
        <w:spacing w:line="480" w:lineRule="exact"/>
        <w:ind w:firstLine="6741" w:firstLineChars="3210"/>
        <w:rPr>
          <w:rFonts w:hAnsi="宋体"/>
          <w:bCs/>
          <w:color w:val="auto"/>
        </w:rPr>
      </w:pPr>
      <w:r>
        <w:rPr>
          <w:rFonts w:hint="eastAsia" w:hAnsi="宋体"/>
          <w:bCs/>
          <w:color w:val="auto"/>
        </w:rPr>
        <w:t>报价人（公章）：</w:t>
      </w:r>
    </w:p>
    <w:p>
      <w:pPr>
        <w:pStyle w:val="14"/>
        <w:spacing w:line="480" w:lineRule="exact"/>
        <w:ind w:firstLine="6741" w:firstLineChars="3210"/>
        <w:rPr>
          <w:rFonts w:hAnsi="宋体"/>
          <w:bCs/>
          <w:color w:val="auto"/>
        </w:rPr>
      </w:pPr>
      <w:r>
        <w:rPr>
          <w:rFonts w:hint="eastAsia" w:hAnsi="宋体"/>
          <w:bCs/>
          <w:color w:val="auto"/>
        </w:rPr>
        <w:t>授权代表（签名）：</w:t>
      </w:r>
    </w:p>
    <w:p>
      <w:pPr>
        <w:pStyle w:val="14"/>
        <w:spacing w:line="480" w:lineRule="exact"/>
        <w:ind w:firstLine="6741" w:firstLineChars="3210"/>
        <w:rPr>
          <w:rFonts w:hAnsi="宋体"/>
          <w:bCs/>
          <w:color w:val="auto"/>
        </w:rPr>
      </w:pPr>
      <w:r>
        <w:rPr>
          <w:rFonts w:hint="eastAsia" w:hAnsi="宋体"/>
          <w:bCs/>
          <w:color w:val="auto"/>
        </w:rPr>
        <w:t>日期：</w:t>
      </w:r>
    </w:p>
    <w:p>
      <w:pPr>
        <w:pStyle w:val="14"/>
        <w:spacing w:line="480" w:lineRule="exact"/>
        <w:ind w:firstLine="6767" w:firstLineChars="3210"/>
        <w:rPr>
          <w:rFonts w:hAnsi="宋体"/>
          <w:b/>
          <w:color w:val="auto"/>
        </w:rPr>
      </w:pPr>
    </w:p>
    <w:p>
      <w:pPr>
        <w:spacing w:line="480" w:lineRule="exact"/>
        <w:rPr>
          <w:rFonts w:ascii="宋体" w:hAnsi="宋体"/>
          <w:color w:val="auto"/>
          <w:sz w:val="32"/>
          <w:szCs w:val="32"/>
        </w:rPr>
      </w:pPr>
      <w:r>
        <w:rPr>
          <w:rFonts w:ascii="宋体" w:hAnsi="宋体"/>
          <w:color w:val="auto"/>
        </w:rPr>
        <w:br w:type="page"/>
      </w:r>
      <w:r>
        <w:rPr>
          <w:rFonts w:hint="eastAsia" w:ascii="宋体" w:hAnsi="宋体"/>
          <w:b/>
          <w:color w:val="auto"/>
          <w:sz w:val="32"/>
          <w:szCs w:val="32"/>
          <w:lang w:val="en-US" w:eastAsia="zh-CN"/>
        </w:rPr>
        <w:t>9</w:t>
      </w:r>
      <w:r>
        <w:rPr>
          <w:rFonts w:hint="eastAsia" w:ascii="宋体" w:hAnsi="宋体"/>
          <w:b/>
          <w:color w:val="auto"/>
          <w:sz w:val="32"/>
          <w:szCs w:val="32"/>
        </w:rPr>
        <w:t xml:space="preserve">.2  </w:t>
      </w:r>
      <w:r>
        <w:rPr>
          <w:rFonts w:hint="eastAsia" w:ascii="宋体" w:hAnsi="宋体"/>
          <w:b/>
          <w:color w:val="auto"/>
          <w:sz w:val="32"/>
          <w:szCs w:val="32"/>
          <w:lang w:eastAsia="zh-CN"/>
        </w:rPr>
        <w:t>技术</w:t>
      </w:r>
      <w:r>
        <w:rPr>
          <w:rFonts w:hint="eastAsia" w:ascii="宋体" w:hAnsi="宋体"/>
          <w:b/>
          <w:color w:val="auto"/>
          <w:sz w:val="32"/>
          <w:szCs w:val="32"/>
        </w:rPr>
        <w:t>服务方案</w:t>
      </w:r>
    </w:p>
    <w:p>
      <w:pPr>
        <w:pStyle w:val="14"/>
        <w:spacing w:line="360" w:lineRule="auto"/>
        <w:ind w:firstLine="403" w:firstLineChars="192"/>
        <w:rPr>
          <w:rFonts w:hAnsi="宋体"/>
          <w:color w:val="auto"/>
          <w:szCs w:val="21"/>
        </w:rPr>
      </w:pPr>
    </w:p>
    <w:p>
      <w:pPr>
        <w:pStyle w:val="14"/>
        <w:spacing w:line="360" w:lineRule="auto"/>
        <w:ind w:firstLine="403" w:firstLineChars="192"/>
        <w:rPr>
          <w:rFonts w:hAnsi="宋体"/>
          <w:color w:val="auto"/>
          <w:szCs w:val="21"/>
        </w:rPr>
      </w:pPr>
      <w:r>
        <w:rPr>
          <w:rFonts w:hint="eastAsia" w:hAnsi="宋体"/>
          <w:color w:val="auto"/>
          <w:szCs w:val="21"/>
        </w:rPr>
        <w:t>报价人首先应充分理解磋商文件中用户需求书中内容的要求，并在此基础之上完成项目服务方案的编写：</w:t>
      </w:r>
    </w:p>
    <w:p>
      <w:pPr>
        <w:spacing w:line="360" w:lineRule="auto"/>
        <w:ind w:left="560"/>
        <w:rPr>
          <w:rFonts w:ascii="宋体" w:hAnsi="宋体"/>
          <w:color w:val="auto"/>
          <w:szCs w:val="21"/>
        </w:rPr>
      </w:pPr>
    </w:p>
    <w:p>
      <w:pPr>
        <w:pStyle w:val="14"/>
        <w:spacing w:line="360" w:lineRule="auto"/>
        <w:ind w:firstLine="403" w:firstLineChars="192"/>
        <w:rPr>
          <w:rFonts w:hAnsi="宋体"/>
          <w:color w:val="auto"/>
          <w:szCs w:val="21"/>
        </w:rPr>
      </w:pPr>
    </w:p>
    <w:p>
      <w:pPr>
        <w:pStyle w:val="14"/>
        <w:spacing w:line="360" w:lineRule="auto"/>
        <w:ind w:firstLine="403" w:firstLineChars="192"/>
        <w:rPr>
          <w:rFonts w:hAnsi="宋体"/>
          <w:color w:val="auto"/>
          <w:szCs w:val="21"/>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报价人（公章）：</w:t>
      </w:r>
    </w:p>
    <w:p>
      <w:pPr>
        <w:tabs>
          <w:tab w:val="left" w:pos="676"/>
          <w:tab w:val="left" w:pos="2330"/>
          <w:tab w:val="left" w:pos="9230"/>
        </w:tabs>
        <w:autoSpaceDE w:val="0"/>
        <w:autoSpaceDN w:val="0"/>
        <w:adjustRightInd w:val="0"/>
        <w:spacing w:line="480" w:lineRule="exact"/>
        <w:ind w:left="4700" w:leftChars="2238"/>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授权代表（签名）：</w:t>
      </w:r>
    </w:p>
    <w:p>
      <w:pPr>
        <w:tabs>
          <w:tab w:val="left" w:pos="676"/>
          <w:tab w:val="left" w:pos="2330"/>
          <w:tab w:val="left" w:pos="9230"/>
        </w:tabs>
        <w:autoSpaceDE w:val="0"/>
        <w:autoSpaceDN w:val="0"/>
        <w:adjustRightInd w:val="0"/>
        <w:spacing w:line="480" w:lineRule="exact"/>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hAnsi="宋体"/>
          <w:color w:val="auto"/>
        </w:rPr>
        <w:sectPr>
          <w:pgSz w:w="11906" w:h="16838"/>
          <w:pgMar w:top="1440" w:right="1418" w:bottom="1440" w:left="1418" w:header="851" w:footer="851" w:gutter="0"/>
          <w:pgNumType w:fmt="decimal"/>
          <w:cols w:space="720" w:num="1"/>
          <w:docGrid w:linePitch="312" w:charSpace="0"/>
        </w:sectPr>
      </w:pPr>
      <w:r>
        <w:rPr>
          <w:color w:val="auto"/>
        </w:rPr>
        <w:t>日      期</w:t>
      </w:r>
      <w:r>
        <w:rPr>
          <w:rFonts w:hint="eastAsia"/>
          <w:color w:val="auto"/>
        </w:rPr>
        <w:t>：</w:t>
      </w:r>
    </w:p>
    <w:bookmarkEnd w:id="39"/>
    <w:bookmarkEnd w:id="40"/>
    <w:p>
      <w:pPr>
        <w:spacing w:line="360" w:lineRule="auto"/>
        <w:rPr>
          <w:rFonts w:ascii="宋体"/>
          <w:color w:val="auto"/>
        </w:rPr>
      </w:pPr>
      <w:r>
        <w:rPr>
          <w:rFonts w:hint="eastAsia" w:ascii="宋体"/>
          <w:b/>
          <w:color w:val="auto"/>
          <w:sz w:val="24"/>
          <w:lang w:val="en-US" w:eastAsia="zh-CN"/>
        </w:rPr>
        <w:t>9</w:t>
      </w:r>
      <w:r>
        <w:rPr>
          <w:rFonts w:hint="eastAsia" w:ascii="宋体"/>
          <w:b/>
          <w:color w:val="auto"/>
          <w:sz w:val="24"/>
        </w:rPr>
        <w:t>.2.1本项目管理技术人员配置</w:t>
      </w:r>
    </w:p>
    <w:p>
      <w:pPr>
        <w:spacing w:line="360" w:lineRule="auto"/>
        <w:jc w:val="center"/>
        <w:rPr>
          <w:b/>
          <w:color w:val="auto"/>
          <w:sz w:val="28"/>
        </w:rPr>
      </w:pPr>
    </w:p>
    <w:p>
      <w:pPr>
        <w:spacing w:line="360" w:lineRule="auto"/>
        <w:ind w:firstLine="422" w:firstLineChars="200"/>
        <w:rPr>
          <w:rFonts w:hint="eastAsia" w:ascii="宋体" w:hAnsi="宋体"/>
          <w:b/>
          <w:color w:val="auto"/>
          <w:sz w:val="21"/>
          <w:szCs w:val="21"/>
        </w:rPr>
      </w:pPr>
      <w:r>
        <w:rPr>
          <w:rFonts w:hint="eastAsia" w:ascii="宋体" w:hAnsi="宋体"/>
          <w:b/>
          <w:color w:val="auto"/>
          <w:sz w:val="21"/>
          <w:szCs w:val="21"/>
        </w:rPr>
        <w:t>一、人员配置</w:t>
      </w:r>
    </w:p>
    <w:p>
      <w:pPr>
        <w:spacing w:line="360" w:lineRule="auto"/>
        <w:ind w:firstLine="420" w:firstLineChars="200"/>
        <w:rPr>
          <w:rFonts w:hint="eastAsia" w:ascii="宋体" w:hAnsi="宋体"/>
          <w:color w:val="auto"/>
          <w:sz w:val="21"/>
          <w:szCs w:val="21"/>
        </w:rPr>
      </w:pPr>
      <w:r>
        <w:rPr>
          <w:rFonts w:hint="eastAsia" w:ascii="宋体" w:hAnsi="宋体"/>
          <w:color w:val="auto"/>
          <w:sz w:val="21"/>
          <w:szCs w:val="21"/>
        </w:rPr>
        <w:t>1. 企业整体人员</w:t>
      </w:r>
    </w:p>
    <w:tbl>
      <w:tblPr>
        <w:tblStyle w:val="30"/>
        <w:tblW w:w="9267" w:type="dxa"/>
        <w:jc w:val="center"/>
        <w:tblInd w:w="0" w:type="dxa"/>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
      <w:tblGrid>
        <w:gridCol w:w="1338"/>
        <w:gridCol w:w="1022"/>
        <w:gridCol w:w="644"/>
        <w:gridCol w:w="1582"/>
        <w:gridCol w:w="1520"/>
        <w:gridCol w:w="1152"/>
        <w:gridCol w:w="2009"/>
      </w:tblGrid>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blHeader/>
          <w:jc w:val="center"/>
        </w:trPr>
        <w:tc>
          <w:tcPr>
            <w:tcW w:w="1338" w:type="dxa"/>
            <w:vAlign w:val="center"/>
          </w:tcPr>
          <w:p>
            <w:pPr>
              <w:spacing w:line="360" w:lineRule="auto"/>
              <w:ind w:left="178" w:leftChars="85"/>
              <w:jc w:val="center"/>
              <w:rPr>
                <w:rFonts w:hint="eastAsia" w:ascii="宋体" w:hAnsi="宋体"/>
                <w:b/>
                <w:color w:val="auto"/>
                <w:sz w:val="21"/>
                <w:szCs w:val="21"/>
              </w:rPr>
            </w:pPr>
            <w:r>
              <w:rPr>
                <w:rFonts w:hint="eastAsia" w:ascii="宋体" w:hAnsi="宋体"/>
                <w:b/>
                <w:color w:val="auto"/>
                <w:sz w:val="21"/>
                <w:szCs w:val="21"/>
              </w:rPr>
              <w:t>分类</w:t>
            </w:r>
          </w:p>
        </w:tc>
        <w:tc>
          <w:tcPr>
            <w:tcW w:w="1022" w:type="dxa"/>
            <w:vAlign w:val="center"/>
          </w:tcPr>
          <w:p>
            <w:pPr>
              <w:spacing w:line="360" w:lineRule="auto"/>
              <w:ind w:left="178" w:leftChars="85"/>
              <w:jc w:val="center"/>
              <w:rPr>
                <w:rFonts w:hint="eastAsia" w:ascii="宋体" w:hAnsi="宋体"/>
                <w:b/>
                <w:color w:val="auto"/>
                <w:sz w:val="21"/>
                <w:szCs w:val="21"/>
              </w:rPr>
            </w:pPr>
            <w:r>
              <w:rPr>
                <w:rFonts w:hint="eastAsia" w:ascii="宋体" w:hAnsi="宋体"/>
                <w:b/>
                <w:color w:val="auto"/>
                <w:sz w:val="21"/>
                <w:szCs w:val="21"/>
              </w:rPr>
              <w:t>姓名</w:t>
            </w:r>
          </w:p>
        </w:tc>
        <w:tc>
          <w:tcPr>
            <w:tcW w:w="644" w:type="dxa"/>
            <w:vAlign w:val="center"/>
          </w:tcPr>
          <w:p>
            <w:pPr>
              <w:spacing w:line="360" w:lineRule="auto"/>
              <w:ind w:left="178" w:leftChars="85"/>
              <w:jc w:val="center"/>
              <w:rPr>
                <w:rFonts w:hint="eastAsia" w:ascii="宋体" w:hAnsi="宋体"/>
                <w:b/>
                <w:color w:val="auto"/>
                <w:sz w:val="21"/>
                <w:szCs w:val="21"/>
              </w:rPr>
            </w:pPr>
            <w:r>
              <w:rPr>
                <w:rFonts w:hint="eastAsia" w:ascii="宋体" w:hAnsi="宋体"/>
                <w:b/>
                <w:color w:val="auto"/>
                <w:sz w:val="21"/>
                <w:szCs w:val="21"/>
              </w:rPr>
              <w:t>年龄</w:t>
            </w:r>
          </w:p>
        </w:tc>
        <w:tc>
          <w:tcPr>
            <w:tcW w:w="1582" w:type="dxa"/>
            <w:vAlign w:val="center"/>
          </w:tcPr>
          <w:p>
            <w:pPr>
              <w:snapToGrid w:val="0"/>
              <w:ind w:left="178" w:leftChars="85"/>
              <w:jc w:val="center"/>
              <w:rPr>
                <w:rFonts w:hint="eastAsia" w:ascii="宋体" w:hAnsi="宋体"/>
                <w:b/>
                <w:color w:val="auto"/>
                <w:sz w:val="21"/>
                <w:szCs w:val="21"/>
              </w:rPr>
            </w:pPr>
            <w:r>
              <w:rPr>
                <w:rFonts w:hint="eastAsia" w:ascii="宋体" w:hAnsi="宋体"/>
                <w:b/>
                <w:color w:val="auto"/>
                <w:sz w:val="21"/>
                <w:szCs w:val="21"/>
              </w:rPr>
              <w:t>专业职称</w:t>
            </w:r>
          </w:p>
        </w:tc>
        <w:tc>
          <w:tcPr>
            <w:tcW w:w="1520" w:type="dxa"/>
            <w:vAlign w:val="center"/>
          </w:tcPr>
          <w:p>
            <w:pPr>
              <w:spacing w:line="360" w:lineRule="auto"/>
              <w:ind w:left="178" w:leftChars="85"/>
              <w:jc w:val="center"/>
              <w:rPr>
                <w:rFonts w:hint="eastAsia" w:ascii="宋体" w:hAnsi="宋体"/>
                <w:b/>
                <w:color w:val="auto"/>
                <w:sz w:val="21"/>
                <w:szCs w:val="21"/>
              </w:rPr>
            </w:pPr>
            <w:r>
              <w:rPr>
                <w:rFonts w:hint="eastAsia" w:ascii="宋体" w:hAnsi="宋体"/>
                <w:b/>
                <w:color w:val="auto"/>
                <w:sz w:val="21"/>
                <w:szCs w:val="21"/>
              </w:rPr>
              <w:t>本项目职务</w:t>
            </w:r>
          </w:p>
        </w:tc>
        <w:tc>
          <w:tcPr>
            <w:tcW w:w="1152" w:type="dxa"/>
            <w:vAlign w:val="center"/>
          </w:tcPr>
          <w:p>
            <w:pPr>
              <w:spacing w:line="360" w:lineRule="auto"/>
              <w:ind w:left="178" w:leftChars="85"/>
              <w:jc w:val="center"/>
              <w:rPr>
                <w:rFonts w:hint="eastAsia" w:ascii="宋体" w:hAnsi="宋体"/>
                <w:b/>
                <w:color w:val="auto"/>
                <w:sz w:val="21"/>
                <w:szCs w:val="21"/>
              </w:rPr>
            </w:pPr>
            <w:r>
              <w:rPr>
                <w:rFonts w:hint="eastAsia" w:ascii="宋体" w:hAnsi="宋体"/>
                <w:b/>
                <w:color w:val="auto"/>
                <w:sz w:val="21"/>
                <w:szCs w:val="21"/>
              </w:rPr>
              <w:t>从业时间</w:t>
            </w:r>
          </w:p>
        </w:tc>
        <w:tc>
          <w:tcPr>
            <w:tcW w:w="2009" w:type="dxa"/>
            <w:vAlign w:val="center"/>
          </w:tcPr>
          <w:p>
            <w:pPr>
              <w:spacing w:line="360" w:lineRule="auto"/>
              <w:ind w:left="178" w:leftChars="85"/>
              <w:jc w:val="center"/>
              <w:rPr>
                <w:rFonts w:hint="eastAsia" w:ascii="宋体" w:hAnsi="宋体"/>
                <w:b/>
                <w:color w:val="auto"/>
                <w:sz w:val="21"/>
                <w:szCs w:val="21"/>
              </w:rPr>
            </w:pPr>
            <w:r>
              <w:rPr>
                <w:rFonts w:hint="eastAsia" w:ascii="宋体" w:hAnsi="宋体"/>
                <w:b/>
                <w:color w:val="auto"/>
                <w:sz w:val="21"/>
                <w:szCs w:val="21"/>
              </w:rPr>
              <w:t>备注</w:t>
            </w: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jc w:val="center"/>
        </w:trPr>
        <w:tc>
          <w:tcPr>
            <w:tcW w:w="1338" w:type="dxa"/>
            <w:vMerge w:val="restart"/>
            <w:vAlign w:val="center"/>
          </w:tcPr>
          <w:p>
            <w:pPr>
              <w:spacing w:line="360" w:lineRule="auto"/>
              <w:ind w:left="178" w:leftChars="85"/>
              <w:jc w:val="center"/>
              <w:rPr>
                <w:rFonts w:hint="eastAsia" w:ascii="宋体" w:hAnsi="宋体"/>
                <w:color w:val="auto"/>
                <w:sz w:val="21"/>
                <w:szCs w:val="21"/>
              </w:rPr>
            </w:pPr>
            <w:r>
              <w:rPr>
                <w:rFonts w:hint="eastAsia" w:ascii="宋体" w:hAnsi="宋体"/>
                <w:color w:val="auto"/>
                <w:sz w:val="21"/>
                <w:szCs w:val="21"/>
              </w:rPr>
              <w:t>工程造价咨询业务人员</w:t>
            </w:r>
          </w:p>
        </w:tc>
        <w:tc>
          <w:tcPr>
            <w:tcW w:w="1022" w:type="dxa"/>
            <w:vAlign w:val="center"/>
          </w:tcPr>
          <w:p>
            <w:pPr>
              <w:spacing w:line="360" w:lineRule="auto"/>
              <w:ind w:left="178" w:leftChars="85"/>
              <w:jc w:val="center"/>
              <w:rPr>
                <w:rFonts w:hint="eastAsia" w:ascii="宋体" w:hAnsi="宋体"/>
                <w:color w:val="auto"/>
                <w:sz w:val="21"/>
                <w:szCs w:val="21"/>
              </w:rPr>
            </w:pPr>
          </w:p>
        </w:tc>
        <w:tc>
          <w:tcPr>
            <w:tcW w:w="644" w:type="dxa"/>
            <w:vAlign w:val="center"/>
          </w:tcPr>
          <w:p>
            <w:pPr>
              <w:spacing w:line="360" w:lineRule="auto"/>
              <w:ind w:left="178" w:leftChars="85"/>
              <w:jc w:val="center"/>
              <w:rPr>
                <w:rFonts w:hint="eastAsia" w:ascii="宋体" w:hAnsi="宋体"/>
                <w:color w:val="auto"/>
                <w:sz w:val="21"/>
                <w:szCs w:val="21"/>
              </w:rPr>
            </w:pPr>
          </w:p>
        </w:tc>
        <w:tc>
          <w:tcPr>
            <w:tcW w:w="1582" w:type="dxa"/>
            <w:vAlign w:val="center"/>
          </w:tcPr>
          <w:p>
            <w:pPr>
              <w:spacing w:line="360" w:lineRule="auto"/>
              <w:ind w:left="178" w:leftChars="85"/>
              <w:jc w:val="center"/>
              <w:rPr>
                <w:rFonts w:hint="eastAsia" w:ascii="宋体" w:hAnsi="宋体"/>
                <w:color w:val="auto"/>
                <w:sz w:val="21"/>
                <w:szCs w:val="21"/>
              </w:rPr>
            </w:pPr>
          </w:p>
        </w:tc>
        <w:tc>
          <w:tcPr>
            <w:tcW w:w="1520" w:type="dxa"/>
            <w:vAlign w:val="center"/>
          </w:tcPr>
          <w:p>
            <w:pPr>
              <w:spacing w:line="360" w:lineRule="auto"/>
              <w:ind w:left="178" w:leftChars="85"/>
              <w:jc w:val="center"/>
              <w:rPr>
                <w:rFonts w:hint="eastAsia" w:ascii="宋体" w:hAnsi="宋体"/>
                <w:color w:val="auto"/>
                <w:sz w:val="21"/>
                <w:szCs w:val="21"/>
              </w:rPr>
            </w:pPr>
          </w:p>
        </w:tc>
        <w:tc>
          <w:tcPr>
            <w:tcW w:w="1152" w:type="dxa"/>
            <w:vAlign w:val="center"/>
          </w:tcPr>
          <w:p>
            <w:pPr>
              <w:spacing w:line="360" w:lineRule="auto"/>
              <w:ind w:left="178" w:leftChars="85"/>
              <w:jc w:val="center"/>
              <w:rPr>
                <w:rFonts w:hint="eastAsia" w:ascii="宋体" w:hAnsi="宋体"/>
                <w:color w:val="auto"/>
                <w:sz w:val="21"/>
                <w:szCs w:val="21"/>
              </w:rPr>
            </w:pPr>
          </w:p>
        </w:tc>
        <w:tc>
          <w:tcPr>
            <w:tcW w:w="2009" w:type="dxa"/>
            <w:vAlign w:val="center"/>
          </w:tcPr>
          <w:p>
            <w:pPr>
              <w:spacing w:line="360" w:lineRule="auto"/>
              <w:ind w:left="178" w:leftChars="85"/>
              <w:jc w:val="center"/>
              <w:rPr>
                <w:rFonts w:hint="eastAsia" w:ascii="宋体" w:hAnsi="宋体"/>
                <w:color w:val="auto"/>
                <w:sz w:val="21"/>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jc w:val="center"/>
        </w:trPr>
        <w:tc>
          <w:tcPr>
            <w:tcW w:w="1338" w:type="dxa"/>
            <w:vMerge w:val="continue"/>
            <w:vAlign w:val="center"/>
          </w:tcPr>
          <w:p>
            <w:pPr>
              <w:spacing w:line="360" w:lineRule="auto"/>
              <w:ind w:left="178" w:leftChars="85"/>
              <w:jc w:val="center"/>
              <w:rPr>
                <w:rFonts w:hint="eastAsia" w:ascii="宋体" w:hAnsi="宋体"/>
                <w:color w:val="auto"/>
                <w:sz w:val="21"/>
                <w:szCs w:val="21"/>
              </w:rPr>
            </w:pPr>
          </w:p>
        </w:tc>
        <w:tc>
          <w:tcPr>
            <w:tcW w:w="1022" w:type="dxa"/>
            <w:vAlign w:val="center"/>
          </w:tcPr>
          <w:p>
            <w:pPr>
              <w:spacing w:line="360" w:lineRule="auto"/>
              <w:ind w:left="178" w:leftChars="85"/>
              <w:jc w:val="center"/>
              <w:rPr>
                <w:rFonts w:hint="eastAsia" w:ascii="宋体" w:hAnsi="宋体"/>
                <w:color w:val="auto"/>
                <w:sz w:val="21"/>
                <w:szCs w:val="21"/>
              </w:rPr>
            </w:pPr>
          </w:p>
        </w:tc>
        <w:tc>
          <w:tcPr>
            <w:tcW w:w="644" w:type="dxa"/>
            <w:vAlign w:val="center"/>
          </w:tcPr>
          <w:p>
            <w:pPr>
              <w:spacing w:line="360" w:lineRule="auto"/>
              <w:ind w:left="178" w:leftChars="85"/>
              <w:jc w:val="center"/>
              <w:rPr>
                <w:rFonts w:hint="eastAsia" w:ascii="宋体" w:hAnsi="宋体"/>
                <w:color w:val="auto"/>
                <w:sz w:val="21"/>
                <w:szCs w:val="21"/>
              </w:rPr>
            </w:pPr>
          </w:p>
        </w:tc>
        <w:tc>
          <w:tcPr>
            <w:tcW w:w="1582" w:type="dxa"/>
            <w:vAlign w:val="center"/>
          </w:tcPr>
          <w:p>
            <w:pPr>
              <w:spacing w:line="360" w:lineRule="auto"/>
              <w:ind w:left="178" w:leftChars="85"/>
              <w:jc w:val="center"/>
              <w:rPr>
                <w:rFonts w:hint="eastAsia" w:ascii="宋体" w:hAnsi="宋体"/>
                <w:color w:val="auto"/>
                <w:sz w:val="21"/>
                <w:szCs w:val="21"/>
              </w:rPr>
            </w:pPr>
          </w:p>
        </w:tc>
        <w:tc>
          <w:tcPr>
            <w:tcW w:w="1520" w:type="dxa"/>
            <w:vAlign w:val="center"/>
          </w:tcPr>
          <w:p>
            <w:pPr>
              <w:spacing w:line="360" w:lineRule="auto"/>
              <w:ind w:left="178" w:leftChars="85"/>
              <w:jc w:val="center"/>
              <w:rPr>
                <w:rFonts w:hint="eastAsia" w:ascii="宋体" w:hAnsi="宋体"/>
                <w:color w:val="auto"/>
                <w:sz w:val="21"/>
                <w:szCs w:val="21"/>
              </w:rPr>
            </w:pPr>
          </w:p>
        </w:tc>
        <w:tc>
          <w:tcPr>
            <w:tcW w:w="1152" w:type="dxa"/>
            <w:vAlign w:val="center"/>
          </w:tcPr>
          <w:p>
            <w:pPr>
              <w:spacing w:line="360" w:lineRule="auto"/>
              <w:ind w:left="178" w:leftChars="85"/>
              <w:jc w:val="center"/>
              <w:rPr>
                <w:rFonts w:hint="eastAsia" w:ascii="宋体" w:hAnsi="宋体"/>
                <w:color w:val="auto"/>
                <w:sz w:val="21"/>
                <w:szCs w:val="21"/>
              </w:rPr>
            </w:pPr>
          </w:p>
        </w:tc>
        <w:tc>
          <w:tcPr>
            <w:tcW w:w="2009" w:type="dxa"/>
            <w:vAlign w:val="center"/>
          </w:tcPr>
          <w:p>
            <w:pPr>
              <w:spacing w:line="360" w:lineRule="auto"/>
              <w:ind w:left="178" w:leftChars="85"/>
              <w:jc w:val="center"/>
              <w:rPr>
                <w:rFonts w:hint="eastAsia" w:ascii="宋体" w:hAnsi="宋体"/>
                <w:color w:val="auto"/>
                <w:sz w:val="21"/>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65" w:hRule="atLeast"/>
          <w:jc w:val="center"/>
        </w:trPr>
        <w:tc>
          <w:tcPr>
            <w:tcW w:w="1338" w:type="dxa"/>
            <w:vMerge w:val="restart"/>
            <w:vAlign w:val="center"/>
          </w:tcPr>
          <w:p>
            <w:pPr>
              <w:spacing w:line="360" w:lineRule="auto"/>
              <w:ind w:left="178" w:leftChars="85"/>
              <w:jc w:val="center"/>
              <w:rPr>
                <w:rFonts w:hint="eastAsia" w:ascii="宋体" w:hAnsi="宋体"/>
                <w:color w:val="auto"/>
                <w:sz w:val="21"/>
                <w:szCs w:val="21"/>
              </w:rPr>
            </w:pPr>
            <w:r>
              <w:rPr>
                <w:rFonts w:hint="eastAsia" w:ascii="宋体" w:hAnsi="宋体"/>
                <w:color w:val="auto"/>
                <w:sz w:val="21"/>
                <w:szCs w:val="21"/>
              </w:rPr>
              <w:t>注册造价工程师</w:t>
            </w:r>
          </w:p>
        </w:tc>
        <w:tc>
          <w:tcPr>
            <w:tcW w:w="1022" w:type="dxa"/>
            <w:vAlign w:val="center"/>
          </w:tcPr>
          <w:p>
            <w:pPr>
              <w:spacing w:line="360" w:lineRule="auto"/>
              <w:ind w:left="178" w:leftChars="85"/>
              <w:jc w:val="center"/>
              <w:rPr>
                <w:rFonts w:hint="eastAsia" w:ascii="宋体" w:hAnsi="宋体"/>
                <w:color w:val="auto"/>
                <w:sz w:val="21"/>
                <w:szCs w:val="21"/>
              </w:rPr>
            </w:pPr>
          </w:p>
        </w:tc>
        <w:tc>
          <w:tcPr>
            <w:tcW w:w="644" w:type="dxa"/>
            <w:vAlign w:val="center"/>
          </w:tcPr>
          <w:p>
            <w:pPr>
              <w:spacing w:line="360" w:lineRule="auto"/>
              <w:ind w:left="178" w:leftChars="85"/>
              <w:jc w:val="center"/>
              <w:rPr>
                <w:rFonts w:hint="eastAsia" w:ascii="宋体" w:hAnsi="宋体"/>
                <w:color w:val="auto"/>
                <w:sz w:val="21"/>
                <w:szCs w:val="21"/>
              </w:rPr>
            </w:pPr>
          </w:p>
        </w:tc>
        <w:tc>
          <w:tcPr>
            <w:tcW w:w="1582" w:type="dxa"/>
            <w:vAlign w:val="center"/>
          </w:tcPr>
          <w:p>
            <w:pPr>
              <w:spacing w:line="360" w:lineRule="auto"/>
              <w:ind w:left="178" w:leftChars="85"/>
              <w:jc w:val="center"/>
              <w:rPr>
                <w:rFonts w:hint="eastAsia" w:ascii="宋体" w:hAnsi="宋体"/>
                <w:color w:val="auto"/>
                <w:sz w:val="21"/>
                <w:szCs w:val="21"/>
              </w:rPr>
            </w:pPr>
          </w:p>
        </w:tc>
        <w:tc>
          <w:tcPr>
            <w:tcW w:w="1520" w:type="dxa"/>
            <w:vAlign w:val="center"/>
          </w:tcPr>
          <w:p>
            <w:pPr>
              <w:spacing w:line="360" w:lineRule="auto"/>
              <w:ind w:left="178" w:leftChars="85"/>
              <w:jc w:val="center"/>
              <w:rPr>
                <w:rFonts w:hint="eastAsia" w:ascii="宋体" w:hAnsi="宋体"/>
                <w:color w:val="auto"/>
                <w:sz w:val="21"/>
                <w:szCs w:val="21"/>
              </w:rPr>
            </w:pPr>
          </w:p>
        </w:tc>
        <w:tc>
          <w:tcPr>
            <w:tcW w:w="1152" w:type="dxa"/>
            <w:vAlign w:val="center"/>
          </w:tcPr>
          <w:p>
            <w:pPr>
              <w:spacing w:line="360" w:lineRule="auto"/>
              <w:ind w:left="178" w:leftChars="85"/>
              <w:jc w:val="center"/>
              <w:rPr>
                <w:rFonts w:hint="eastAsia" w:ascii="宋体" w:hAnsi="宋体"/>
                <w:color w:val="auto"/>
                <w:sz w:val="21"/>
                <w:szCs w:val="21"/>
              </w:rPr>
            </w:pPr>
          </w:p>
        </w:tc>
        <w:tc>
          <w:tcPr>
            <w:tcW w:w="2009" w:type="dxa"/>
            <w:vAlign w:val="center"/>
          </w:tcPr>
          <w:p>
            <w:pPr>
              <w:spacing w:line="360" w:lineRule="auto"/>
              <w:ind w:left="178" w:leftChars="85"/>
              <w:jc w:val="center"/>
              <w:rPr>
                <w:rFonts w:hint="eastAsia" w:ascii="宋体" w:hAnsi="宋体"/>
                <w:color w:val="auto"/>
                <w:sz w:val="21"/>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rHeight w:val="70" w:hRule="atLeast"/>
          <w:jc w:val="center"/>
        </w:trPr>
        <w:tc>
          <w:tcPr>
            <w:tcW w:w="1338" w:type="dxa"/>
            <w:vMerge w:val="continue"/>
            <w:vAlign w:val="center"/>
          </w:tcPr>
          <w:p>
            <w:pPr>
              <w:spacing w:line="360" w:lineRule="auto"/>
              <w:ind w:left="178" w:leftChars="85"/>
              <w:jc w:val="center"/>
              <w:rPr>
                <w:rFonts w:hint="eastAsia" w:ascii="宋体" w:hAnsi="宋体"/>
                <w:color w:val="auto"/>
                <w:sz w:val="21"/>
                <w:szCs w:val="21"/>
              </w:rPr>
            </w:pPr>
          </w:p>
        </w:tc>
        <w:tc>
          <w:tcPr>
            <w:tcW w:w="1022" w:type="dxa"/>
            <w:vAlign w:val="center"/>
          </w:tcPr>
          <w:p>
            <w:pPr>
              <w:spacing w:line="360" w:lineRule="auto"/>
              <w:ind w:left="178" w:leftChars="85"/>
              <w:jc w:val="center"/>
              <w:rPr>
                <w:rFonts w:hint="eastAsia" w:ascii="宋体" w:hAnsi="宋体"/>
                <w:color w:val="auto"/>
                <w:sz w:val="21"/>
                <w:szCs w:val="21"/>
              </w:rPr>
            </w:pPr>
          </w:p>
        </w:tc>
        <w:tc>
          <w:tcPr>
            <w:tcW w:w="644" w:type="dxa"/>
            <w:vAlign w:val="center"/>
          </w:tcPr>
          <w:p>
            <w:pPr>
              <w:spacing w:line="360" w:lineRule="auto"/>
              <w:ind w:left="178" w:leftChars="85"/>
              <w:jc w:val="center"/>
              <w:rPr>
                <w:rFonts w:hint="eastAsia" w:ascii="宋体" w:hAnsi="宋体"/>
                <w:color w:val="auto"/>
                <w:sz w:val="21"/>
                <w:szCs w:val="21"/>
              </w:rPr>
            </w:pPr>
          </w:p>
        </w:tc>
        <w:tc>
          <w:tcPr>
            <w:tcW w:w="1582" w:type="dxa"/>
            <w:vAlign w:val="center"/>
          </w:tcPr>
          <w:p>
            <w:pPr>
              <w:spacing w:line="360" w:lineRule="auto"/>
              <w:ind w:left="178" w:leftChars="85"/>
              <w:jc w:val="center"/>
              <w:rPr>
                <w:rFonts w:hint="eastAsia" w:ascii="宋体" w:hAnsi="宋体"/>
                <w:color w:val="auto"/>
                <w:sz w:val="21"/>
                <w:szCs w:val="21"/>
              </w:rPr>
            </w:pPr>
          </w:p>
        </w:tc>
        <w:tc>
          <w:tcPr>
            <w:tcW w:w="1520" w:type="dxa"/>
            <w:vAlign w:val="center"/>
          </w:tcPr>
          <w:p>
            <w:pPr>
              <w:spacing w:line="360" w:lineRule="auto"/>
              <w:ind w:left="178" w:leftChars="85"/>
              <w:jc w:val="center"/>
              <w:rPr>
                <w:rFonts w:hint="eastAsia" w:ascii="宋体" w:hAnsi="宋体"/>
                <w:color w:val="auto"/>
                <w:sz w:val="21"/>
                <w:szCs w:val="21"/>
              </w:rPr>
            </w:pPr>
          </w:p>
        </w:tc>
        <w:tc>
          <w:tcPr>
            <w:tcW w:w="1152" w:type="dxa"/>
            <w:vAlign w:val="center"/>
          </w:tcPr>
          <w:p>
            <w:pPr>
              <w:spacing w:line="360" w:lineRule="auto"/>
              <w:ind w:left="178" w:leftChars="85"/>
              <w:jc w:val="center"/>
              <w:rPr>
                <w:rFonts w:hint="eastAsia" w:ascii="宋体" w:hAnsi="宋体"/>
                <w:color w:val="auto"/>
                <w:sz w:val="21"/>
                <w:szCs w:val="21"/>
              </w:rPr>
            </w:pPr>
          </w:p>
        </w:tc>
        <w:tc>
          <w:tcPr>
            <w:tcW w:w="2009" w:type="dxa"/>
            <w:vAlign w:val="center"/>
          </w:tcPr>
          <w:p>
            <w:pPr>
              <w:spacing w:line="360" w:lineRule="auto"/>
              <w:ind w:left="178" w:leftChars="85"/>
              <w:jc w:val="center"/>
              <w:rPr>
                <w:rFonts w:hint="eastAsia" w:ascii="宋体" w:hAnsi="宋体"/>
                <w:color w:val="auto"/>
                <w:sz w:val="21"/>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jc w:val="center"/>
        </w:trPr>
        <w:tc>
          <w:tcPr>
            <w:tcW w:w="1338" w:type="dxa"/>
            <w:vMerge w:val="restart"/>
            <w:vAlign w:val="center"/>
          </w:tcPr>
          <w:p>
            <w:pPr>
              <w:spacing w:line="360" w:lineRule="auto"/>
              <w:ind w:left="178" w:leftChars="85"/>
              <w:jc w:val="center"/>
              <w:rPr>
                <w:rFonts w:ascii="宋体" w:hAnsi="宋体"/>
                <w:color w:val="auto"/>
                <w:sz w:val="21"/>
                <w:szCs w:val="21"/>
              </w:rPr>
            </w:pPr>
            <w:r>
              <w:rPr>
                <w:rFonts w:hint="eastAsia" w:ascii="宋体" w:hAnsi="宋体"/>
                <w:color w:val="auto"/>
                <w:sz w:val="21"/>
                <w:szCs w:val="21"/>
              </w:rPr>
              <w:t>高级工程师</w:t>
            </w:r>
          </w:p>
        </w:tc>
        <w:tc>
          <w:tcPr>
            <w:tcW w:w="1022" w:type="dxa"/>
            <w:vAlign w:val="center"/>
          </w:tcPr>
          <w:p>
            <w:pPr>
              <w:spacing w:line="360" w:lineRule="auto"/>
              <w:ind w:left="178" w:leftChars="85"/>
              <w:jc w:val="center"/>
              <w:rPr>
                <w:rFonts w:hint="eastAsia" w:ascii="宋体" w:hAnsi="宋体"/>
                <w:color w:val="auto"/>
                <w:sz w:val="21"/>
                <w:szCs w:val="21"/>
              </w:rPr>
            </w:pPr>
          </w:p>
        </w:tc>
        <w:tc>
          <w:tcPr>
            <w:tcW w:w="644" w:type="dxa"/>
            <w:vAlign w:val="center"/>
          </w:tcPr>
          <w:p>
            <w:pPr>
              <w:spacing w:line="360" w:lineRule="auto"/>
              <w:ind w:left="178" w:leftChars="85"/>
              <w:jc w:val="center"/>
              <w:rPr>
                <w:rFonts w:hint="eastAsia" w:ascii="宋体" w:hAnsi="宋体"/>
                <w:color w:val="auto"/>
                <w:sz w:val="21"/>
                <w:szCs w:val="21"/>
              </w:rPr>
            </w:pPr>
          </w:p>
        </w:tc>
        <w:tc>
          <w:tcPr>
            <w:tcW w:w="1582" w:type="dxa"/>
            <w:vAlign w:val="center"/>
          </w:tcPr>
          <w:p>
            <w:pPr>
              <w:spacing w:line="360" w:lineRule="auto"/>
              <w:ind w:left="178" w:leftChars="85"/>
              <w:jc w:val="center"/>
              <w:rPr>
                <w:rFonts w:hint="eastAsia" w:ascii="宋体" w:hAnsi="宋体"/>
                <w:color w:val="auto"/>
                <w:sz w:val="21"/>
                <w:szCs w:val="21"/>
              </w:rPr>
            </w:pPr>
          </w:p>
        </w:tc>
        <w:tc>
          <w:tcPr>
            <w:tcW w:w="1520" w:type="dxa"/>
            <w:vAlign w:val="center"/>
          </w:tcPr>
          <w:p>
            <w:pPr>
              <w:spacing w:line="360" w:lineRule="auto"/>
              <w:ind w:left="178" w:leftChars="85"/>
              <w:jc w:val="center"/>
              <w:rPr>
                <w:rFonts w:hint="eastAsia" w:ascii="宋体" w:hAnsi="宋体"/>
                <w:color w:val="auto"/>
                <w:sz w:val="21"/>
                <w:szCs w:val="21"/>
              </w:rPr>
            </w:pPr>
          </w:p>
        </w:tc>
        <w:tc>
          <w:tcPr>
            <w:tcW w:w="1152" w:type="dxa"/>
            <w:vAlign w:val="center"/>
          </w:tcPr>
          <w:p>
            <w:pPr>
              <w:spacing w:line="360" w:lineRule="auto"/>
              <w:ind w:left="178" w:leftChars="85"/>
              <w:jc w:val="center"/>
              <w:rPr>
                <w:rFonts w:hint="eastAsia" w:ascii="宋体" w:hAnsi="宋体"/>
                <w:color w:val="auto"/>
                <w:sz w:val="21"/>
                <w:szCs w:val="21"/>
              </w:rPr>
            </w:pPr>
          </w:p>
        </w:tc>
        <w:tc>
          <w:tcPr>
            <w:tcW w:w="2009" w:type="dxa"/>
            <w:vAlign w:val="center"/>
          </w:tcPr>
          <w:p>
            <w:pPr>
              <w:spacing w:line="360" w:lineRule="auto"/>
              <w:ind w:left="178" w:leftChars="85"/>
              <w:jc w:val="center"/>
              <w:rPr>
                <w:rFonts w:hint="eastAsia" w:ascii="宋体" w:hAnsi="宋体"/>
                <w:color w:val="auto"/>
                <w:sz w:val="21"/>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jc w:val="center"/>
        </w:trPr>
        <w:tc>
          <w:tcPr>
            <w:tcW w:w="1338" w:type="dxa"/>
            <w:vMerge w:val="continue"/>
            <w:vAlign w:val="center"/>
          </w:tcPr>
          <w:p>
            <w:pPr>
              <w:spacing w:line="360" w:lineRule="auto"/>
              <w:ind w:left="178" w:leftChars="85"/>
              <w:jc w:val="center"/>
              <w:rPr>
                <w:rFonts w:hint="eastAsia" w:ascii="宋体" w:hAnsi="宋体"/>
                <w:color w:val="auto"/>
                <w:sz w:val="21"/>
                <w:szCs w:val="21"/>
              </w:rPr>
            </w:pPr>
          </w:p>
        </w:tc>
        <w:tc>
          <w:tcPr>
            <w:tcW w:w="1022" w:type="dxa"/>
            <w:vAlign w:val="center"/>
          </w:tcPr>
          <w:p>
            <w:pPr>
              <w:spacing w:line="360" w:lineRule="auto"/>
              <w:ind w:left="178" w:leftChars="85"/>
              <w:jc w:val="center"/>
              <w:rPr>
                <w:rFonts w:hint="eastAsia" w:ascii="宋体" w:hAnsi="宋体"/>
                <w:color w:val="auto"/>
                <w:sz w:val="21"/>
                <w:szCs w:val="21"/>
              </w:rPr>
            </w:pPr>
          </w:p>
        </w:tc>
        <w:tc>
          <w:tcPr>
            <w:tcW w:w="644" w:type="dxa"/>
            <w:vAlign w:val="center"/>
          </w:tcPr>
          <w:p>
            <w:pPr>
              <w:spacing w:line="360" w:lineRule="auto"/>
              <w:ind w:left="178" w:leftChars="85"/>
              <w:jc w:val="center"/>
              <w:rPr>
                <w:rFonts w:hint="eastAsia" w:ascii="宋体" w:hAnsi="宋体"/>
                <w:color w:val="auto"/>
                <w:sz w:val="21"/>
                <w:szCs w:val="21"/>
              </w:rPr>
            </w:pPr>
          </w:p>
        </w:tc>
        <w:tc>
          <w:tcPr>
            <w:tcW w:w="1582" w:type="dxa"/>
            <w:vAlign w:val="center"/>
          </w:tcPr>
          <w:p>
            <w:pPr>
              <w:spacing w:line="360" w:lineRule="auto"/>
              <w:ind w:left="178" w:leftChars="85"/>
              <w:jc w:val="center"/>
              <w:rPr>
                <w:rFonts w:hint="eastAsia" w:ascii="宋体" w:hAnsi="宋体"/>
                <w:color w:val="auto"/>
                <w:sz w:val="21"/>
                <w:szCs w:val="21"/>
              </w:rPr>
            </w:pPr>
          </w:p>
        </w:tc>
        <w:tc>
          <w:tcPr>
            <w:tcW w:w="1520" w:type="dxa"/>
            <w:vAlign w:val="center"/>
          </w:tcPr>
          <w:p>
            <w:pPr>
              <w:spacing w:line="360" w:lineRule="auto"/>
              <w:ind w:left="178" w:leftChars="85"/>
              <w:jc w:val="center"/>
              <w:rPr>
                <w:rFonts w:hint="eastAsia" w:ascii="宋体" w:hAnsi="宋体"/>
                <w:color w:val="auto"/>
                <w:sz w:val="21"/>
                <w:szCs w:val="21"/>
              </w:rPr>
            </w:pPr>
          </w:p>
        </w:tc>
        <w:tc>
          <w:tcPr>
            <w:tcW w:w="1152" w:type="dxa"/>
            <w:vAlign w:val="center"/>
          </w:tcPr>
          <w:p>
            <w:pPr>
              <w:spacing w:line="360" w:lineRule="auto"/>
              <w:ind w:left="178" w:leftChars="85"/>
              <w:jc w:val="center"/>
              <w:rPr>
                <w:rFonts w:hint="eastAsia" w:ascii="宋体" w:hAnsi="宋体"/>
                <w:color w:val="auto"/>
                <w:sz w:val="21"/>
                <w:szCs w:val="21"/>
              </w:rPr>
            </w:pPr>
          </w:p>
        </w:tc>
        <w:tc>
          <w:tcPr>
            <w:tcW w:w="2009" w:type="dxa"/>
            <w:vAlign w:val="center"/>
          </w:tcPr>
          <w:p>
            <w:pPr>
              <w:spacing w:line="360" w:lineRule="auto"/>
              <w:ind w:left="178" w:leftChars="85"/>
              <w:jc w:val="center"/>
              <w:rPr>
                <w:rFonts w:hint="eastAsia" w:ascii="宋体" w:hAnsi="宋体"/>
                <w:color w:val="auto"/>
                <w:sz w:val="21"/>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jc w:val="center"/>
        </w:trPr>
        <w:tc>
          <w:tcPr>
            <w:tcW w:w="1338" w:type="dxa"/>
            <w:vMerge w:val="restart"/>
            <w:vAlign w:val="center"/>
          </w:tcPr>
          <w:p>
            <w:pPr>
              <w:spacing w:line="360" w:lineRule="auto"/>
              <w:ind w:left="178" w:leftChars="85"/>
              <w:jc w:val="center"/>
              <w:rPr>
                <w:rFonts w:hint="eastAsia" w:ascii="宋体" w:hAnsi="宋体"/>
                <w:color w:val="auto"/>
                <w:sz w:val="21"/>
                <w:szCs w:val="21"/>
              </w:rPr>
            </w:pPr>
            <w:r>
              <w:rPr>
                <w:rFonts w:hint="eastAsia" w:ascii="宋体" w:hAnsi="宋体"/>
                <w:color w:val="auto"/>
                <w:sz w:val="21"/>
                <w:szCs w:val="21"/>
              </w:rPr>
              <w:t>注册咨询工程师（投资）</w:t>
            </w:r>
          </w:p>
        </w:tc>
        <w:tc>
          <w:tcPr>
            <w:tcW w:w="1022" w:type="dxa"/>
            <w:vAlign w:val="center"/>
          </w:tcPr>
          <w:p>
            <w:pPr>
              <w:spacing w:line="360" w:lineRule="auto"/>
              <w:ind w:left="178" w:leftChars="85"/>
              <w:jc w:val="center"/>
              <w:rPr>
                <w:rFonts w:hint="eastAsia" w:ascii="宋体" w:hAnsi="宋体"/>
                <w:color w:val="auto"/>
                <w:sz w:val="21"/>
                <w:szCs w:val="21"/>
              </w:rPr>
            </w:pPr>
          </w:p>
        </w:tc>
        <w:tc>
          <w:tcPr>
            <w:tcW w:w="644" w:type="dxa"/>
            <w:vAlign w:val="center"/>
          </w:tcPr>
          <w:p>
            <w:pPr>
              <w:spacing w:line="360" w:lineRule="auto"/>
              <w:ind w:left="178" w:leftChars="85"/>
              <w:jc w:val="center"/>
              <w:rPr>
                <w:rFonts w:hint="eastAsia" w:ascii="宋体" w:hAnsi="宋体"/>
                <w:color w:val="auto"/>
                <w:sz w:val="21"/>
                <w:szCs w:val="21"/>
              </w:rPr>
            </w:pPr>
          </w:p>
        </w:tc>
        <w:tc>
          <w:tcPr>
            <w:tcW w:w="1582" w:type="dxa"/>
            <w:vAlign w:val="center"/>
          </w:tcPr>
          <w:p>
            <w:pPr>
              <w:spacing w:line="360" w:lineRule="auto"/>
              <w:ind w:left="178" w:leftChars="85"/>
              <w:jc w:val="center"/>
              <w:rPr>
                <w:rFonts w:hint="eastAsia" w:ascii="宋体" w:hAnsi="宋体"/>
                <w:color w:val="auto"/>
                <w:sz w:val="21"/>
                <w:szCs w:val="21"/>
              </w:rPr>
            </w:pPr>
          </w:p>
        </w:tc>
        <w:tc>
          <w:tcPr>
            <w:tcW w:w="1520" w:type="dxa"/>
            <w:vAlign w:val="center"/>
          </w:tcPr>
          <w:p>
            <w:pPr>
              <w:spacing w:line="360" w:lineRule="auto"/>
              <w:ind w:left="178" w:leftChars="85"/>
              <w:jc w:val="center"/>
              <w:rPr>
                <w:rFonts w:hint="eastAsia" w:ascii="宋体" w:hAnsi="宋体"/>
                <w:color w:val="auto"/>
                <w:sz w:val="21"/>
                <w:szCs w:val="21"/>
              </w:rPr>
            </w:pPr>
          </w:p>
        </w:tc>
        <w:tc>
          <w:tcPr>
            <w:tcW w:w="1152" w:type="dxa"/>
            <w:vAlign w:val="center"/>
          </w:tcPr>
          <w:p>
            <w:pPr>
              <w:spacing w:line="360" w:lineRule="auto"/>
              <w:ind w:left="178" w:leftChars="85"/>
              <w:jc w:val="center"/>
              <w:rPr>
                <w:rFonts w:hint="eastAsia" w:ascii="宋体" w:hAnsi="宋体"/>
                <w:color w:val="auto"/>
                <w:sz w:val="21"/>
                <w:szCs w:val="21"/>
              </w:rPr>
            </w:pPr>
          </w:p>
        </w:tc>
        <w:tc>
          <w:tcPr>
            <w:tcW w:w="2009" w:type="dxa"/>
            <w:vAlign w:val="center"/>
          </w:tcPr>
          <w:p>
            <w:pPr>
              <w:spacing w:line="360" w:lineRule="auto"/>
              <w:ind w:left="178" w:leftChars="85"/>
              <w:jc w:val="center"/>
              <w:rPr>
                <w:rFonts w:hint="eastAsia" w:ascii="宋体" w:hAnsi="宋体"/>
                <w:color w:val="auto"/>
                <w:sz w:val="21"/>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jc w:val="center"/>
        </w:trPr>
        <w:tc>
          <w:tcPr>
            <w:tcW w:w="1338" w:type="dxa"/>
            <w:vMerge w:val="continue"/>
            <w:vAlign w:val="center"/>
          </w:tcPr>
          <w:p>
            <w:pPr>
              <w:spacing w:line="360" w:lineRule="auto"/>
              <w:ind w:left="178" w:leftChars="85"/>
              <w:jc w:val="center"/>
              <w:rPr>
                <w:rFonts w:hint="eastAsia" w:ascii="宋体" w:hAnsi="宋体"/>
                <w:color w:val="auto"/>
                <w:sz w:val="21"/>
                <w:szCs w:val="21"/>
              </w:rPr>
            </w:pPr>
          </w:p>
        </w:tc>
        <w:tc>
          <w:tcPr>
            <w:tcW w:w="1022" w:type="dxa"/>
            <w:vAlign w:val="center"/>
          </w:tcPr>
          <w:p>
            <w:pPr>
              <w:spacing w:line="360" w:lineRule="auto"/>
              <w:ind w:left="178" w:leftChars="85"/>
              <w:jc w:val="center"/>
              <w:rPr>
                <w:rFonts w:hint="eastAsia" w:ascii="宋体" w:hAnsi="宋体"/>
                <w:color w:val="auto"/>
                <w:sz w:val="21"/>
                <w:szCs w:val="21"/>
              </w:rPr>
            </w:pPr>
          </w:p>
        </w:tc>
        <w:tc>
          <w:tcPr>
            <w:tcW w:w="644" w:type="dxa"/>
            <w:vAlign w:val="center"/>
          </w:tcPr>
          <w:p>
            <w:pPr>
              <w:spacing w:line="360" w:lineRule="auto"/>
              <w:ind w:left="178" w:leftChars="85"/>
              <w:jc w:val="center"/>
              <w:rPr>
                <w:rFonts w:hint="eastAsia" w:ascii="宋体" w:hAnsi="宋体"/>
                <w:color w:val="auto"/>
                <w:sz w:val="21"/>
                <w:szCs w:val="21"/>
              </w:rPr>
            </w:pPr>
          </w:p>
        </w:tc>
        <w:tc>
          <w:tcPr>
            <w:tcW w:w="1582" w:type="dxa"/>
            <w:vAlign w:val="center"/>
          </w:tcPr>
          <w:p>
            <w:pPr>
              <w:spacing w:line="360" w:lineRule="auto"/>
              <w:ind w:left="178" w:leftChars="85"/>
              <w:jc w:val="center"/>
              <w:rPr>
                <w:rFonts w:hint="eastAsia" w:ascii="宋体" w:hAnsi="宋体"/>
                <w:color w:val="auto"/>
                <w:sz w:val="21"/>
                <w:szCs w:val="21"/>
              </w:rPr>
            </w:pPr>
          </w:p>
        </w:tc>
        <w:tc>
          <w:tcPr>
            <w:tcW w:w="1520" w:type="dxa"/>
            <w:vAlign w:val="center"/>
          </w:tcPr>
          <w:p>
            <w:pPr>
              <w:spacing w:line="360" w:lineRule="auto"/>
              <w:ind w:left="178" w:leftChars="85"/>
              <w:jc w:val="center"/>
              <w:rPr>
                <w:rFonts w:hint="eastAsia" w:ascii="宋体" w:hAnsi="宋体"/>
                <w:color w:val="auto"/>
                <w:sz w:val="21"/>
                <w:szCs w:val="21"/>
              </w:rPr>
            </w:pPr>
          </w:p>
        </w:tc>
        <w:tc>
          <w:tcPr>
            <w:tcW w:w="1152" w:type="dxa"/>
            <w:vAlign w:val="center"/>
          </w:tcPr>
          <w:p>
            <w:pPr>
              <w:spacing w:line="360" w:lineRule="auto"/>
              <w:ind w:left="178" w:leftChars="85"/>
              <w:jc w:val="center"/>
              <w:rPr>
                <w:rFonts w:hint="eastAsia" w:ascii="宋体" w:hAnsi="宋体"/>
                <w:color w:val="auto"/>
                <w:sz w:val="21"/>
                <w:szCs w:val="21"/>
              </w:rPr>
            </w:pPr>
          </w:p>
        </w:tc>
        <w:tc>
          <w:tcPr>
            <w:tcW w:w="2009" w:type="dxa"/>
            <w:vAlign w:val="center"/>
          </w:tcPr>
          <w:p>
            <w:pPr>
              <w:spacing w:line="360" w:lineRule="auto"/>
              <w:ind w:left="178" w:leftChars="85"/>
              <w:jc w:val="center"/>
              <w:rPr>
                <w:rFonts w:hint="eastAsia" w:ascii="宋体" w:hAnsi="宋体"/>
                <w:color w:val="auto"/>
                <w:sz w:val="21"/>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jc w:val="center"/>
        </w:trPr>
        <w:tc>
          <w:tcPr>
            <w:tcW w:w="1338" w:type="dxa"/>
            <w:vAlign w:val="center"/>
          </w:tcPr>
          <w:p>
            <w:pPr>
              <w:spacing w:line="360" w:lineRule="auto"/>
              <w:ind w:left="178" w:leftChars="85"/>
              <w:jc w:val="center"/>
              <w:rPr>
                <w:rFonts w:hint="eastAsia" w:ascii="宋体" w:hAnsi="宋体"/>
                <w:color w:val="auto"/>
                <w:sz w:val="21"/>
                <w:szCs w:val="21"/>
              </w:rPr>
            </w:pPr>
            <w:r>
              <w:rPr>
                <w:rFonts w:hint="eastAsia" w:ascii="宋体" w:hAnsi="宋体"/>
                <w:color w:val="auto"/>
                <w:sz w:val="21"/>
                <w:szCs w:val="21"/>
              </w:rPr>
              <w:t>统计</w:t>
            </w:r>
          </w:p>
        </w:tc>
        <w:tc>
          <w:tcPr>
            <w:tcW w:w="7929" w:type="dxa"/>
            <w:gridSpan w:val="6"/>
            <w:vAlign w:val="center"/>
          </w:tcPr>
          <w:p>
            <w:pPr>
              <w:spacing w:line="360" w:lineRule="auto"/>
              <w:ind w:left="178" w:leftChars="85"/>
              <w:rPr>
                <w:rFonts w:hint="eastAsia" w:ascii="宋体" w:hAnsi="宋体"/>
                <w:color w:val="auto"/>
                <w:sz w:val="21"/>
                <w:szCs w:val="21"/>
              </w:rPr>
            </w:pPr>
            <w:r>
              <w:rPr>
                <w:rFonts w:hint="eastAsia" w:ascii="宋体" w:hAnsi="宋体"/>
                <w:color w:val="auto"/>
                <w:sz w:val="21"/>
                <w:szCs w:val="21"/>
              </w:rPr>
              <w:t>整体人员合共</w:t>
            </w:r>
            <w:r>
              <w:rPr>
                <w:rFonts w:hint="eastAsia" w:ascii="宋体" w:hAnsi="宋体"/>
                <w:color w:val="auto"/>
                <w:sz w:val="21"/>
                <w:szCs w:val="21"/>
                <w:u w:val="single"/>
              </w:rPr>
              <w:t xml:space="preserve">   </w:t>
            </w:r>
            <w:r>
              <w:rPr>
                <w:rFonts w:hint="eastAsia" w:ascii="宋体" w:hAnsi="宋体"/>
                <w:color w:val="auto"/>
                <w:sz w:val="21"/>
                <w:szCs w:val="21"/>
              </w:rPr>
              <w:t>人。其中工程造价咨询业务人员</w:t>
            </w:r>
            <w:r>
              <w:rPr>
                <w:rFonts w:hint="eastAsia" w:ascii="宋体" w:hAnsi="宋体"/>
                <w:color w:val="auto"/>
                <w:sz w:val="21"/>
                <w:szCs w:val="21"/>
                <w:u w:val="single"/>
              </w:rPr>
              <w:t xml:space="preserve">   </w:t>
            </w:r>
            <w:r>
              <w:rPr>
                <w:rFonts w:hint="eastAsia" w:ascii="宋体" w:hAnsi="宋体"/>
                <w:color w:val="auto"/>
                <w:sz w:val="21"/>
                <w:szCs w:val="21"/>
              </w:rPr>
              <w:t>人；注册造价工程师</w:t>
            </w:r>
            <w:r>
              <w:rPr>
                <w:rFonts w:hint="eastAsia" w:ascii="宋体" w:hAnsi="宋体"/>
                <w:color w:val="auto"/>
                <w:sz w:val="21"/>
                <w:szCs w:val="21"/>
                <w:u w:val="single"/>
              </w:rPr>
              <w:t xml:space="preserve">   </w:t>
            </w:r>
            <w:r>
              <w:rPr>
                <w:rFonts w:hint="eastAsia" w:ascii="宋体" w:hAnsi="宋体"/>
                <w:color w:val="auto"/>
                <w:sz w:val="21"/>
                <w:szCs w:val="21"/>
              </w:rPr>
              <w:t>人；高级工程师</w:t>
            </w:r>
            <w:r>
              <w:rPr>
                <w:rFonts w:hint="eastAsia" w:ascii="宋体" w:hAnsi="宋体"/>
                <w:color w:val="auto"/>
                <w:sz w:val="21"/>
                <w:szCs w:val="21"/>
                <w:u w:val="single"/>
              </w:rPr>
              <w:t xml:space="preserve">   </w:t>
            </w:r>
            <w:r>
              <w:rPr>
                <w:rFonts w:hint="eastAsia" w:ascii="宋体" w:hAnsi="宋体"/>
                <w:color w:val="auto"/>
                <w:sz w:val="21"/>
                <w:szCs w:val="21"/>
              </w:rPr>
              <w:t>人；注册咨询工程师（投资）</w:t>
            </w:r>
            <w:r>
              <w:rPr>
                <w:rFonts w:hint="eastAsia" w:ascii="宋体" w:hAnsi="宋体"/>
                <w:color w:val="auto"/>
                <w:sz w:val="21"/>
                <w:szCs w:val="21"/>
                <w:u w:val="single"/>
              </w:rPr>
              <w:t xml:space="preserve">   </w:t>
            </w:r>
            <w:r>
              <w:rPr>
                <w:rFonts w:hint="eastAsia" w:ascii="宋体" w:hAnsi="宋体"/>
                <w:color w:val="auto"/>
                <w:sz w:val="21"/>
                <w:szCs w:val="21"/>
              </w:rPr>
              <w:t>人；专业类型：</w:t>
            </w:r>
            <w:r>
              <w:rPr>
                <w:rFonts w:hint="eastAsia" w:ascii="宋体" w:hAnsi="宋体"/>
                <w:color w:val="auto"/>
                <w:sz w:val="21"/>
                <w:szCs w:val="21"/>
                <w:u w:val="single"/>
              </w:rPr>
              <w:t xml:space="preserve">    </w:t>
            </w:r>
            <w:r>
              <w:rPr>
                <w:rFonts w:hint="eastAsia" w:ascii="宋体" w:hAnsi="宋体"/>
                <w:color w:val="auto"/>
                <w:sz w:val="21"/>
                <w:szCs w:val="21"/>
              </w:rPr>
              <w:t>、</w:t>
            </w:r>
            <w:r>
              <w:rPr>
                <w:rFonts w:hint="eastAsia" w:ascii="宋体" w:hAnsi="宋体"/>
                <w:color w:val="auto"/>
                <w:sz w:val="21"/>
                <w:szCs w:val="21"/>
                <w:u w:val="single"/>
              </w:rPr>
              <w:t xml:space="preserve">    </w:t>
            </w:r>
            <w:r>
              <w:rPr>
                <w:rFonts w:hint="eastAsia" w:ascii="宋体" w:hAnsi="宋体"/>
                <w:color w:val="auto"/>
                <w:sz w:val="21"/>
                <w:szCs w:val="21"/>
              </w:rPr>
              <w:t>、</w:t>
            </w:r>
            <w:r>
              <w:rPr>
                <w:rFonts w:hint="eastAsia" w:ascii="宋体" w:hAnsi="宋体"/>
                <w:color w:val="auto"/>
                <w:sz w:val="21"/>
                <w:szCs w:val="21"/>
                <w:u w:val="single"/>
              </w:rPr>
              <w:t xml:space="preserve">    </w:t>
            </w:r>
          </w:p>
        </w:tc>
      </w:tr>
    </w:tbl>
    <w:p>
      <w:pPr>
        <w:spacing w:line="360" w:lineRule="auto"/>
        <w:ind w:firstLine="420" w:firstLineChars="200"/>
        <w:rPr>
          <w:rFonts w:hint="eastAsia" w:ascii="宋体" w:hAnsi="宋体"/>
          <w:color w:val="auto"/>
          <w:sz w:val="21"/>
          <w:szCs w:val="21"/>
          <w:lang w:val="en-GB"/>
        </w:rPr>
      </w:pPr>
      <w:r>
        <w:rPr>
          <w:rFonts w:hint="eastAsia" w:ascii="宋体" w:hAnsi="宋体"/>
          <w:color w:val="auto"/>
          <w:sz w:val="21"/>
          <w:szCs w:val="21"/>
        </w:rPr>
        <w:t xml:space="preserve">2. </w:t>
      </w:r>
      <w:r>
        <w:rPr>
          <w:rFonts w:hint="eastAsia" w:ascii="宋体" w:hAnsi="宋体"/>
          <w:color w:val="auto"/>
          <w:sz w:val="21"/>
          <w:szCs w:val="21"/>
          <w:lang w:val="en-GB"/>
        </w:rPr>
        <w:t>从事本项目人员（投入本项目的服务人员，人员名单确定后，不能随便更改）</w:t>
      </w:r>
    </w:p>
    <w:tbl>
      <w:tblPr>
        <w:tblStyle w:val="30"/>
        <w:tblW w:w="9267" w:type="dxa"/>
        <w:jc w:val="center"/>
        <w:tblInd w:w="0" w:type="dxa"/>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
      <w:tblGrid>
        <w:gridCol w:w="1338"/>
        <w:gridCol w:w="1022"/>
        <w:gridCol w:w="644"/>
        <w:gridCol w:w="1582"/>
        <w:gridCol w:w="1520"/>
        <w:gridCol w:w="1152"/>
        <w:gridCol w:w="2009"/>
      </w:tblGrid>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tblHeader/>
          <w:jc w:val="center"/>
        </w:trPr>
        <w:tc>
          <w:tcPr>
            <w:tcW w:w="1338" w:type="dxa"/>
            <w:vAlign w:val="center"/>
          </w:tcPr>
          <w:p>
            <w:pPr>
              <w:spacing w:line="360" w:lineRule="auto"/>
              <w:ind w:left="178" w:leftChars="85"/>
              <w:jc w:val="center"/>
              <w:rPr>
                <w:rFonts w:hint="eastAsia" w:ascii="宋体" w:hAnsi="宋体"/>
                <w:b/>
                <w:color w:val="auto"/>
                <w:sz w:val="21"/>
                <w:szCs w:val="21"/>
              </w:rPr>
            </w:pPr>
            <w:r>
              <w:rPr>
                <w:rFonts w:hint="eastAsia" w:ascii="宋体" w:hAnsi="宋体"/>
                <w:b/>
                <w:color w:val="auto"/>
                <w:sz w:val="21"/>
                <w:szCs w:val="21"/>
              </w:rPr>
              <w:t>分类</w:t>
            </w:r>
          </w:p>
        </w:tc>
        <w:tc>
          <w:tcPr>
            <w:tcW w:w="1022" w:type="dxa"/>
            <w:vAlign w:val="center"/>
          </w:tcPr>
          <w:p>
            <w:pPr>
              <w:spacing w:line="360" w:lineRule="auto"/>
              <w:ind w:left="178" w:leftChars="85"/>
              <w:jc w:val="center"/>
              <w:rPr>
                <w:rFonts w:hint="eastAsia" w:ascii="宋体" w:hAnsi="宋体"/>
                <w:b/>
                <w:color w:val="auto"/>
                <w:sz w:val="21"/>
                <w:szCs w:val="21"/>
              </w:rPr>
            </w:pPr>
            <w:r>
              <w:rPr>
                <w:rFonts w:hint="eastAsia" w:ascii="宋体" w:hAnsi="宋体"/>
                <w:b/>
                <w:color w:val="auto"/>
                <w:sz w:val="21"/>
                <w:szCs w:val="21"/>
              </w:rPr>
              <w:t>姓名</w:t>
            </w:r>
          </w:p>
        </w:tc>
        <w:tc>
          <w:tcPr>
            <w:tcW w:w="644" w:type="dxa"/>
            <w:vAlign w:val="center"/>
          </w:tcPr>
          <w:p>
            <w:pPr>
              <w:spacing w:line="360" w:lineRule="auto"/>
              <w:ind w:left="178" w:leftChars="85"/>
              <w:jc w:val="center"/>
              <w:rPr>
                <w:rFonts w:hint="eastAsia" w:ascii="宋体" w:hAnsi="宋体"/>
                <w:b/>
                <w:color w:val="auto"/>
                <w:sz w:val="21"/>
                <w:szCs w:val="21"/>
              </w:rPr>
            </w:pPr>
            <w:r>
              <w:rPr>
                <w:rFonts w:hint="eastAsia" w:ascii="宋体" w:hAnsi="宋体"/>
                <w:b/>
                <w:color w:val="auto"/>
                <w:sz w:val="21"/>
                <w:szCs w:val="21"/>
              </w:rPr>
              <w:t>年龄</w:t>
            </w:r>
          </w:p>
        </w:tc>
        <w:tc>
          <w:tcPr>
            <w:tcW w:w="1582" w:type="dxa"/>
            <w:vAlign w:val="center"/>
          </w:tcPr>
          <w:p>
            <w:pPr>
              <w:snapToGrid w:val="0"/>
              <w:ind w:left="178" w:leftChars="85"/>
              <w:jc w:val="center"/>
              <w:rPr>
                <w:rFonts w:hint="eastAsia" w:ascii="宋体" w:hAnsi="宋体"/>
                <w:b/>
                <w:color w:val="auto"/>
                <w:sz w:val="21"/>
                <w:szCs w:val="21"/>
              </w:rPr>
            </w:pPr>
            <w:r>
              <w:rPr>
                <w:rFonts w:hint="eastAsia" w:ascii="宋体" w:hAnsi="宋体"/>
                <w:b/>
                <w:color w:val="auto"/>
                <w:sz w:val="21"/>
                <w:szCs w:val="21"/>
              </w:rPr>
              <w:t>专业职称</w:t>
            </w:r>
          </w:p>
        </w:tc>
        <w:tc>
          <w:tcPr>
            <w:tcW w:w="1520" w:type="dxa"/>
            <w:vAlign w:val="center"/>
          </w:tcPr>
          <w:p>
            <w:pPr>
              <w:spacing w:line="360" w:lineRule="auto"/>
              <w:ind w:left="178" w:leftChars="85"/>
              <w:jc w:val="center"/>
              <w:rPr>
                <w:rFonts w:hint="eastAsia" w:ascii="宋体" w:hAnsi="宋体"/>
                <w:b/>
                <w:color w:val="auto"/>
                <w:sz w:val="21"/>
                <w:szCs w:val="21"/>
              </w:rPr>
            </w:pPr>
            <w:r>
              <w:rPr>
                <w:rFonts w:hint="eastAsia" w:ascii="宋体" w:hAnsi="宋体"/>
                <w:b/>
                <w:color w:val="auto"/>
                <w:sz w:val="21"/>
                <w:szCs w:val="21"/>
              </w:rPr>
              <w:t>本项目职务</w:t>
            </w:r>
          </w:p>
        </w:tc>
        <w:tc>
          <w:tcPr>
            <w:tcW w:w="1152" w:type="dxa"/>
            <w:vAlign w:val="center"/>
          </w:tcPr>
          <w:p>
            <w:pPr>
              <w:spacing w:line="360" w:lineRule="auto"/>
              <w:ind w:left="178" w:leftChars="85"/>
              <w:jc w:val="center"/>
              <w:rPr>
                <w:rFonts w:hint="eastAsia" w:ascii="宋体" w:hAnsi="宋体"/>
                <w:b/>
                <w:color w:val="auto"/>
                <w:sz w:val="21"/>
                <w:szCs w:val="21"/>
              </w:rPr>
            </w:pPr>
            <w:r>
              <w:rPr>
                <w:rFonts w:hint="eastAsia" w:ascii="宋体" w:hAnsi="宋体"/>
                <w:b/>
                <w:color w:val="auto"/>
                <w:sz w:val="21"/>
                <w:szCs w:val="21"/>
              </w:rPr>
              <w:t>从业时间</w:t>
            </w:r>
          </w:p>
        </w:tc>
        <w:tc>
          <w:tcPr>
            <w:tcW w:w="2009" w:type="dxa"/>
            <w:vAlign w:val="center"/>
          </w:tcPr>
          <w:p>
            <w:pPr>
              <w:spacing w:line="360" w:lineRule="auto"/>
              <w:ind w:left="178" w:leftChars="85"/>
              <w:jc w:val="center"/>
              <w:rPr>
                <w:rFonts w:hint="eastAsia" w:ascii="宋体" w:hAnsi="宋体"/>
                <w:b/>
                <w:color w:val="auto"/>
                <w:sz w:val="21"/>
                <w:szCs w:val="21"/>
              </w:rPr>
            </w:pPr>
            <w:r>
              <w:rPr>
                <w:rFonts w:hint="eastAsia" w:ascii="宋体" w:hAnsi="宋体"/>
                <w:b/>
                <w:color w:val="auto"/>
                <w:sz w:val="21"/>
                <w:szCs w:val="21"/>
              </w:rPr>
              <w:t>备注</w:t>
            </w: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cantSplit/>
          <w:jc w:val="center"/>
        </w:trPr>
        <w:tc>
          <w:tcPr>
            <w:tcW w:w="1338" w:type="dxa"/>
            <w:vMerge w:val="restart"/>
            <w:vAlign w:val="center"/>
          </w:tcPr>
          <w:p>
            <w:pPr>
              <w:spacing w:line="360" w:lineRule="auto"/>
              <w:ind w:left="178" w:leftChars="85"/>
              <w:jc w:val="center"/>
              <w:rPr>
                <w:rFonts w:hint="eastAsia" w:ascii="宋体" w:hAnsi="宋体"/>
                <w:color w:val="auto"/>
                <w:sz w:val="21"/>
                <w:szCs w:val="21"/>
              </w:rPr>
            </w:pPr>
            <w:r>
              <w:rPr>
                <w:rFonts w:hint="eastAsia" w:ascii="宋体" w:hAnsi="宋体"/>
                <w:color w:val="auto"/>
                <w:sz w:val="21"/>
                <w:szCs w:val="21"/>
              </w:rPr>
              <w:t>工程造价咨询业务人员</w:t>
            </w:r>
          </w:p>
        </w:tc>
        <w:tc>
          <w:tcPr>
            <w:tcW w:w="1022" w:type="dxa"/>
            <w:vAlign w:val="center"/>
          </w:tcPr>
          <w:p>
            <w:pPr>
              <w:spacing w:line="360" w:lineRule="auto"/>
              <w:ind w:left="178" w:leftChars="85"/>
              <w:jc w:val="center"/>
              <w:rPr>
                <w:rFonts w:hint="eastAsia" w:ascii="宋体" w:hAnsi="宋体"/>
                <w:color w:val="auto"/>
                <w:sz w:val="21"/>
                <w:szCs w:val="21"/>
              </w:rPr>
            </w:pPr>
          </w:p>
        </w:tc>
        <w:tc>
          <w:tcPr>
            <w:tcW w:w="644" w:type="dxa"/>
            <w:vAlign w:val="center"/>
          </w:tcPr>
          <w:p>
            <w:pPr>
              <w:spacing w:line="360" w:lineRule="auto"/>
              <w:ind w:left="178" w:leftChars="85"/>
              <w:jc w:val="center"/>
              <w:rPr>
                <w:rFonts w:hint="eastAsia" w:ascii="宋体" w:hAnsi="宋体"/>
                <w:color w:val="auto"/>
                <w:sz w:val="21"/>
                <w:szCs w:val="21"/>
              </w:rPr>
            </w:pPr>
          </w:p>
        </w:tc>
        <w:tc>
          <w:tcPr>
            <w:tcW w:w="1582" w:type="dxa"/>
            <w:vAlign w:val="center"/>
          </w:tcPr>
          <w:p>
            <w:pPr>
              <w:spacing w:line="360" w:lineRule="auto"/>
              <w:ind w:left="178" w:leftChars="85"/>
              <w:jc w:val="center"/>
              <w:rPr>
                <w:rFonts w:hint="eastAsia" w:ascii="宋体" w:hAnsi="宋体"/>
                <w:color w:val="auto"/>
                <w:sz w:val="21"/>
                <w:szCs w:val="21"/>
              </w:rPr>
            </w:pPr>
          </w:p>
        </w:tc>
        <w:tc>
          <w:tcPr>
            <w:tcW w:w="1520" w:type="dxa"/>
            <w:vAlign w:val="center"/>
          </w:tcPr>
          <w:p>
            <w:pPr>
              <w:spacing w:line="360" w:lineRule="auto"/>
              <w:ind w:left="178" w:leftChars="85"/>
              <w:jc w:val="center"/>
              <w:rPr>
                <w:rFonts w:hint="eastAsia" w:ascii="宋体" w:hAnsi="宋体"/>
                <w:color w:val="auto"/>
                <w:sz w:val="21"/>
                <w:szCs w:val="21"/>
              </w:rPr>
            </w:pPr>
          </w:p>
        </w:tc>
        <w:tc>
          <w:tcPr>
            <w:tcW w:w="1152" w:type="dxa"/>
            <w:vAlign w:val="center"/>
          </w:tcPr>
          <w:p>
            <w:pPr>
              <w:spacing w:line="360" w:lineRule="auto"/>
              <w:ind w:left="178" w:leftChars="85"/>
              <w:jc w:val="center"/>
              <w:rPr>
                <w:rFonts w:hint="eastAsia" w:ascii="宋体" w:hAnsi="宋体"/>
                <w:color w:val="auto"/>
                <w:sz w:val="21"/>
                <w:szCs w:val="21"/>
              </w:rPr>
            </w:pPr>
          </w:p>
        </w:tc>
        <w:tc>
          <w:tcPr>
            <w:tcW w:w="2009" w:type="dxa"/>
            <w:vAlign w:val="center"/>
          </w:tcPr>
          <w:p>
            <w:pPr>
              <w:spacing w:line="360" w:lineRule="auto"/>
              <w:ind w:left="178" w:leftChars="85"/>
              <w:jc w:val="center"/>
              <w:rPr>
                <w:rFonts w:hint="eastAsia" w:ascii="宋体" w:hAnsi="宋体"/>
                <w:color w:val="auto"/>
                <w:sz w:val="21"/>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cantSplit/>
          <w:jc w:val="center"/>
        </w:trPr>
        <w:tc>
          <w:tcPr>
            <w:tcW w:w="1338" w:type="dxa"/>
            <w:vMerge w:val="continue"/>
            <w:vAlign w:val="center"/>
          </w:tcPr>
          <w:p>
            <w:pPr>
              <w:spacing w:line="360" w:lineRule="auto"/>
              <w:ind w:left="178" w:leftChars="85"/>
              <w:jc w:val="center"/>
              <w:rPr>
                <w:rFonts w:hint="eastAsia" w:ascii="宋体" w:hAnsi="宋体"/>
                <w:color w:val="auto"/>
                <w:sz w:val="21"/>
                <w:szCs w:val="21"/>
              </w:rPr>
            </w:pPr>
          </w:p>
        </w:tc>
        <w:tc>
          <w:tcPr>
            <w:tcW w:w="1022" w:type="dxa"/>
            <w:vAlign w:val="center"/>
          </w:tcPr>
          <w:p>
            <w:pPr>
              <w:spacing w:line="360" w:lineRule="auto"/>
              <w:ind w:left="178" w:leftChars="85"/>
              <w:jc w:val="center"/>
              <w:rPr>
                <w:rFonts w:hint="eastAsia" w:ascii="宋体" w:hAnsi="宋体"/>
                <w:color w:val="auto"/>
                <w:sz w:val="21"/>
                <w:szCs w:val="21"/>
              </w:rPr>
            </w:pPr>
          </w:p>
        </w:tc>
        <w:tc>
          <w:tcPr>
            <w:tcW w:w="644" w:type="dxa"/>
            <w:vAlign w:val="center"/>
          </w:tcPr>
          <w:p>
            <w:pPr>
              <w:spacing w:line="360" w:lineRule="auto"/>
              <w:ind w:left="178" w:leftChars="85"/>
              <w:jc w:val="center"/>
              <w:rPr>
                <w:rFonts w:hint="eastAsia" w:ascii="宋体" w:hAnsi="宋体"/>
                <w:color w:val="auto"/>
                <w:sz w:val="21"/>
                <w:szCs w:val="21"/>
              </w:rPr>
            </w:pPr>
          </w:p>
        </w:tc>
        <w:tc>
          <w:tcPr>
            <w:tcW w:w="1582" w:type="dxa"/>
            <w:vAlign w:val="center"/>
          </w:tcPr>
          <w:p>
            <w:pPr>
              <w:spacing w:line="360" w:lineRule="auto"/>
              <w:ind w:left="178" w:leftChars="85"/>
              <w:jc w:val="center"/>
              <w:rPr>
                <w:rFonts w:hint="eastAsia" w:ascii="宋体" w:hAnsi="宋体"/>
                <w:color w:val="auto"/>
                <w:sz w:val="21"/>
                <w:szCs w:val="21"/>
              </w:rPr>
            </w:pPr>
          </w:p>
        </w:tc>
        <w:tc>
          <w:tcPr>
            <w:tcW w:w="1520" w:type="dxa"/>
            <w:vAlign w:val="center"/>
          </w:tcPr>
          <w:p>
            <w:pPr>
              <w:spacing w:line="360" w:lineRule="auto"/>
              <w:ind w:left="178" w:leftChars="85"/>
              <w:jc w:val="center"/>
              <w:rPr>
                <w:rFonts w:hint="eastAsia" w:ascii="宋体" w:hAnsi="宋体"/>
                <w:color w:val="auto"/>
                <w:sz w:val="21"/>
                <w:szCs w:val="21"/>
              </w:rPr>
            </w:pPr>
          </w:p>
        </w:tc>
        <w:tc>
          <w:tcPr>
            <w:tcW w:w="1152" w:type="dxa"/>
            <w:vAlign w:val="center"/>
          </w:tcPr>
          <w:p>
            <w:pPr>
              <w:spacing w:line="360" w:lineRule="auto"/>
              <w:ind w:left="178" w:leftChars="85"/>
              <w:jc w:val="center"/>
              <w:rPr>
                <w:rFonts w:hint="eastAsia" w:ascii="宋体" w:hAnsi="宋体"/>
                <w:color w:val="auto"/>
                <w:sz w:val="21"/>
                <w:szCs w:val="21"/>
              </w:rPr>
            </w:pPr>
          </w:p>
        </w:tc>
        <w:tc>
          <w:tcPr>
            <w:tcW w:w="2009" w:type="dxa"/>
            <w:vAlign w:val="center"/>
          </w:tcPr>
          <w:p>
            <w:pPr>
              <w:spacing w:line="360" w:lineRule="auto"/>
              <w:ind w:left="178" w:leftChars="85"/>
              <w:jc w:val="center"/>
              <w:rPr>
                <w:rFonts w:hint="eastAsia" w:ascii="宋体" w:hAnsi="宋体"/>
                <w:color w:val="auto"/>
                <w:sz w:val="21"/>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cantSplit/>
          <w:trHeight w:val="65" w:hRule="atLeast"/>
          <w:jc w:val="center"/>
        </w:trPr>
        <w:tc>
          <w:tcPr>
            <w:tcW w:w="1338" w:type="dxa"/>
            <w:vMerge w:val="restart"/>
            <w:vAlign w:val="center"/>
          </w:tcPr>
          <w:p>
            <w:pPr>
              <w:spacing w:line="360" w:lineRule="auto"/>
              <w:ind w:left="178" w:leftChars="85"/>
              <w:jc w:val="center"/>
              <w:rPr>
                <w:rFonts w:hint="eastAsia" w:ascii="宋体" w:hAnsi="宋体"/>
                <w:color w:val="auto"/>
                <w:sz w:val="21"/>
                <w:szCs w:val="21"/>
              </w:rPr>
            </w:pPr>
            <w:r>
              <w:rPr>
                <w:rFonts w:hint="eastAsia" w:ascii="宋体" w:hAnsi="宋体"/>
                <w:color w:val="auto"/>
                <w:sz w:val="21"/>
                <w:szCs w:val="21"/>
              </w:rPr>
              <w:t>注册造价工程师</w:t>
            </w:r>
          </w:p>
        </w:tc>
        <w:tc>
          <w:tcPr>
            <w:tcW w:w="1022" w:type="dxa"/>
            <w:vAlign w:val="center"/>
          </w:tcPr>
          <w:p>
            <w:pPr>
              <w:spacing w:line="360" w:lineRule="auto"/>
              <w:ind w:left="178" w:leftChars="85"/>
              <w:jc w:val="center"/>
              <w:rPr>
                <w:rFonts w:hint="eastAsia" w:ascii="宋体" w:hAnsi="宋体"/>
                <w:color w:val="auto"/>
                <w:sz w:val="21"/>
                <w:szCs w:val="21"/>
              </w:rPr>
            </w:pPr>
          </w:p>
        </w:tc>
        <w:tc>
          <w:tcPr>
            <w:tcW w:w="644" w:type="dxa"/>
            <w:vAlign w:val="center"/>
          </w:tcPr>
          <w:p>
            <w:pPr>
              <w:spacing w:line="360" w:lineRule="auto"/>
              <w:ind w:left="178" w:leftChars="85"/>
              <w:jc w:val="center"/>
              <w:rPr>
                <w:rFonts w:hint="eastAsia" w:ascii="宋体" w:hAnsi="宋体"/>
                <w:color w:val="auto"/>
                <w:sz w:val="21"/>
                <w:szCs w:val="21"/>
              </w:rPr>
            </w:pPr>
          </w:p>
        </w:tc>
        <w:tc>
          <w:tcPr>
            <w:tcW w:w="1582" w:type="dxa"/>
            <w:vAlign w:val="center"/>
          </w:tcPr>
          <w:p>
            <w:pPr>
              <w:spacing w:line="360" w:lineRule="auto"/>
              <w:ind w:left="178" w:leftChars="85"/>
              <w:jc w:val="center"/>
              <w:rPr>
                <w:rFonts w:hint="eastAsia" w:ascii="宋体" w:hAnsi="宋体"/>
                <w:color w:val="auto"/>
                <w:sz w:val="21"/>
                <w:szCs w:val="21"/>
              </w:rPr>
            </w:pPr>
          </w:p>
        </w:tc>
        <w:tc>
          <w:tcPr>
            <w:tcW w:w="1520" w:type="dxa"/>
            <w:vAlign w:val="center"/>
          </w:tcPr>
          <w:p>
            <w:pPr>
              <w:spacing w:line="360" w:lineRule="auto"/>
              <w:ind w:left="178" w:leftChars="85"/>
              <w:jc w:val="center"/>
              <w:rPr>
                <w:rFonts w:hint="eastAsia" w:ascii="宋体" w:hAnsi="宋体"/>
                <w:color w:val="auto"/>
                <w:sz w:val="21"/>
                <w:szCs w:val="21"/>
              </w:rPr>
            </w:pPr>
          </w:p>
        </w:tc>
        <w:tc>
          <w:tcPr>
            <w:tcW w:w="1152" w:type="dxa"/>
            <w:vAlign w:val="center"/>
          </w:tcPr>
          <w:p>
            <w:pPr>
              <w:spacing w:line="360" w:lineRule="auto"/>
              <w:ind w:left="178" w:leftChars="85"/>
              <w:jc w:val="center"/>
              <w:rPr>
                <w:rFonts w:hint="eastAsia" w:ascii="宋体" w:hAnsi="宋体"/>
                <w:color w:val="auto"/>
                <w:sz w:val="21"/>
                <w:szCs w:val="21"/>
              </w:rPr>
            </w:pPr>
          </w:p>
        </w:tc>
        <w:tc>
          <w:tcPr>
            <w:tcW w:w="2009" w:type="dxa"/>
            <w:vAlign w:val="center"/>
          </w:tcPr>
          <w:p>
            <w:pPr>
              <w:spacing w:line="360" w:lineRule="auto"/>
              <w:ind w:left="178" w:leftChars="85"/>
              <w:jc w:val="center"/>
              <w:rPr>
                <w:rFonts w:hint="eastAsia" w:ascii="宋体" w:hAnsi="宋体"/>
                <w:color w:val="auto"/>
                <w:sz w:val="21"/>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cantSplit/>
          <w:trHeight w:val="70" w:hRule="atLeast"/>
          <w:jc w:val="center"/>
        </w:trPr>
        <w:tc>
          <w:tcPr>
            <w:tcW w:w="1338" w:type="dxa"/>
            <w:vMerge w:val="continue"/>
            <w:vAlign w:val="center"/>
          </w:tcPr>
          <w:p>
            <w:pPr>
              <w:spacing w:line="360" w:lineRule="auto"/>
              <w:ind w:left="178" w:leftChars="85"/>
              <w:jc w:val="center"/>
              <w:rPr>
                <w:rFonts w:hint="eastAsia" w:ascii="宋体" w:hAnsi="宋体"/>
                <w:color w:val="auto"/>
                <w:sz w:val="21"/>
                <w:szCs w:val="21"/>
              </w:rPr>
            </w:pPr>
          </w:p>
        </w:tc>
        <w:tc>
          <w:tcPr>
            <w:tcW w:w="1022" w:type="dxa"/>
            <w:vAlign w:val="center"/>
          </w:tcPr>
          <w:p>
            <w:pPr>
              <w:spacing w:line="360" w:lineRule="auto"/>
              <w:ind w:left="178" w:leftChars="85"/>
              <w:jc w:val="center"/>
              <w:rPr>
                <w:rFonts w:hint="eastAsia" w:ascii="宋体" w:hAnsi="宋体"/>
                <w:color w:val="auto"/>
                <w:sz w:val="21"/>
                <w:szCs w:val="21"/>
              </w:rPr>
            </w:pPr>
          </w:p>
        </w:tc>
        <w:tc>
          <w:tcPr>
            <w:tcW w:w="644" w:type="dxa"/>
            <w:vAlign w:val="center"/>
          </w:tcPr>
          <w:p>
            <w:pPr>
              <w:spacing w:line="360" w:lineRule="auto"/>
              <w:ind w:left="178" w:leftChars="85"/>
              <w:jc w:val="center"/>
              <w:rPr>
                <w:rFonts w:hint="eastAsia" w:ascii="宋体" w:hAnsi="宋体"/>
                <w:color w:val="auto"/>
                <w:sz w:val="21"/>
                <w:szCs w:val="21"/>
              </w:rPr>
            </w:pPr>
          </w:p>
        </w:tc>
        <w:tc>
          <w:tcPr>
            <w:tcW w:w="1582" w:type="dxa"/>
            <w:vAlign w:val="center"/>
          </w:tcPr>
          <w:p>
            <w:pPr>
              <w:spacing w:line="360" w:lineRule="auto"/>
              <w:ind w:left="178" w:leftChars="85"/>
              <w:jc w:val="center"/>
              <w:rPr>
                <w:rFonts w:hint="eastAsia" w:ascii="宋体" w:hAnsi="宋体"/>
                <w:color w:val="auto"/>
                <w:sz w:val="21"/>
                <w:szCs w:val="21"/>
              </w:rPr>
            </w:pPr>
          </w:p>
        </w:tc>
        <w:tc>
          <w:tcPr>
            <w:tcW w:w="1520" w:type="dxa"/>
            <w:vAlign w:val="center"/>
          </w:tcPr>
          <w:p>
            <w:pPr>
              <w:spacing w:line="360" w:lineRule="auto"/>
              <w:ind w:left="178" w:leftChars="85"/>
              <w:jc w:val="center"/>
              <w:rPr>
                <w:rFonts w:hint="eastAsia" w:ascii="宋体" w:hAnsi="宋体"/>
                <w:color w:val="auto"/>
                <w:sz w:val="21"/>
                <w:szCs w:val="21"/>
              </w:rPr>
            </w:pPr>
          </w:p>
        </w:tc>
        <w:tc>
          <w:tcPr>
            <w:tcW w:w="1152" w:type="dxa"/>
            <w:vAlign w:val="center"/>
          </w:tcPr>
          <w:p>
            <w:pPr>
              <w:spacing w:line="360" w:lineRule="auto"/>
              <w:ind w:left="178" w:leftChars="85"/>
              <w:jc w:val="center"/>
              <w:rPr>
                <w:rFonts w:hint="eastAsia" w:ascii="宋体" w:hAnsi="宋体"/>
                <w:color w:val="auto"/>
                <w:sz w:val="21"/>
                <w:szCs w:val="21"/>
              </w:rPr>
            </w:pPr>
          </w:p>
        </w:tc>
        <w:tc>
          <w:tcPr>
            <w:tcW w:w="2009" w:type="dxa"/>
            <w:vAlign w:val="center"/>
          </w:tcPr>
          <w:p>
            <w:pPr>
              <w:spacing w:line="360" w:lineRule="auto"/>
              <w:ind w:left="178" w:leftChars="85"/>
              <w:jc w:val="center"/>
              <w:rPr>
                <w:rFonts w:hint="eastAsia" w:ascii="宋体" w:hAnsi="宋体"/>
                <w:color w:val="auto"/>
                <w:sz w:val="21"/>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jc w:val="center"/>
        </w:trPr>
        <w:tc>
          <w:tcPr>
            <w:tcW w:w="1338" w:type="dxa"/>
            <w:vMerge w:val="restart"/>
            <w:vAlign w:val="center"/>
          </w:tcPr>
          <w:p>
            <w:pPr>
              <w:spacing w:line="360" w:lineRule="auto"/>
              <w:ind w:left="178" w:leftChars="85"/>
              <w:jc w:val="center"/>
              <w:rPr>
                <w:rFonts w:ascii="宋体" w:hAnsi="宋体"/>
                <w:color w:val="auto"/>
                <w:sz w:val="21"/>
                <w:szCs w:val="21"/>
              </w:rPr>
            </w:pPr>
            <w:r>
              <w:rPr>
                <w:rFonts w:hint="eastAsia" w:ascii="宋体" w:hAnsi="宋体"/>
                <w:color w:val="auto"/>
                <w:sz w:val="21"/>
                <w:szCs w:val="21"/>
              </w:rPr>
              <w:t>高级工程师</w:t>
            </w:r>
          </w:p>
        </w:tc>
        <w:tc>
          <w:tcPr>
            <w:tcW w:w="1022" w:type="dxa"/>
            <w:vAlign w:val="center"/>
          </w:tcPr>
          <w:p>
            <w:pPr>
              <w:spacing w:line="360" w:lineRule="auto"/>
              <w:ind w:left="178" w:leftChars="85"/>
              <w:jc w:val="center"/>
              <w:rPr>
                <w:rFonts w:hint="eastAsia" w:ascii="宋体" w:hAnsi="宋体"/>
                <w:color w:val="auto"/>
                <w:sz w:val="21"/>
                <w:szCs w:val="21"/>
              </w:rPr>
            </w:pPr>
          </w:p>
        </w:tc>
        <w:tc>
          <w:tcPr>
            <w:tcW w:w="644" w:type="dxa"/>
            <w:vAlign w:val="center"/>
          </w:tcPr>
          <w:p>
            <w:pPr>
              <w:spacing w:line="360" w:lineRule="auto"/>
              <w:ind w:left="178" w:leftChars="85"/>
              <w:jc w:val="center"/>
              <w:rPr>
                <w:rFonts w:hint="eastAsia" w:ascii="宋体" w:hAnsi="宋体"/>
                <w:color w:val="auto"/>
                <w:sz w:val="21"/>
                <w:szCs w:val="21"/>
              </w:rPr>
            </w:pPr>
          </w:p>
        </w:tc>
        <w:tc>
          <w:tcPr>
            <w:tcW w:w="1582" w:type="dxa"/>
            <w:vAlign w:val="center"/>
          </w:tcPr>
          <w:p>
            <w:pPr>
              <w:spacing w:line="360" w:lineRule="auto"/>
              <w:ind w:left="178" w:leftChars="85"/>
              <w:jc w:val="center"/>
              <w:rPr>
                <w:rFonts w:hint="eastAsia" w:ascii="宋体" w:hAnsi="宋体"/>
                <w:color w:val="auto"/>
                <w:sz w:val="21"/>
                <w:szCs w:val="21"/>
              </w:rPr>
            </w:pPr>
          </w:p>
        </w:tc>
        <w:tc>
          <w:tcPr>
            <w:tcW w:w="1520" w:type="dxa"/>
            <w:vAlign w:val="center"/>
          </w:tcPr>
          <w:p>
            <w:pPr>
              <w:spacing w:line="360" w:lineRule="auto"/>
              <w:ind w:left="178" w:leftChars="85"/>
              <w:jc w:val="center"/>
              <w:rPr>
                <w:rFonts w:hint="eastAsia" w:ascii="宋体" w:hAnsi="宋体"/>
                <w:color w:val="auto"/>
                <w:sz w:val="21"/>
                <w:szCs w:val="21"/>
              </w:rPr>
            </w:pPr>
          </w:p>
        </w:tc>
        <w:tc>
          <w:tcPr>
            <w:tcW w:w="1152" w:type="dxa"/>
            <w:vAlign w:val="center"/>
          </w:tcPr>
          <w:p>
            <w:pPr>
              <w:spacing w:line="360" w:lineRule="auto"/>
              <w:ind w:left="178" w:leftChars="85"/>
              <w:jc w:val="center"/>
              <w:rPr>
                <w:rFonts w:hint="eastAsia" w:ascii="宋体" w:hAnsi="宋体"/>
                <w:color w:val="auto"/>
                <w:sz w:val="21"/>
                <w:szCs w:val="21"/>
              </w:rPr>
            </w:pPr>
          </w:p>
        </w:tc>
        <w:tc>
          <w:tcPr>
            <w:tcW w:w="2009" w:type="dxa"/>
            <w:vAlign w:val="center"/>
          </w:tcPr>
          <w:p>
            <w:pPr>
              <w:spacing w:line="360" w:lineRule="auto"/>
              <w:ind w:left="178" w:leftChars="85"/>
              <w:jc w:val="center"/>
              <w:rPr>
                <w:rFonts w:hint="eastAsia" w:ascii="宋体" w:hAnsi="宋体"/>
                <w:color w:val="auto"/>
                <w:sz w:val="21"/>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jc w:val="center"/>
        </w:trPr>
        <w:tc>
          <w:tcPr>
            <w:tcW w:w="1338" w:type="dxa"/>
            <w:vMerge w:val="continue"/>
            <w:vAlign w:val="center"/>
          </w:tcPr>
          <w:p>
            <w:pPr>
              <w:spacing w:line="360" w:lineRule="auto"/>
              <w:ind w:left="178" w:leftChars="85"/>
              <w:jc w:val="center"/>
              <w:rPr>
                <w:rFonts w:hint="eastAsia" w:ascii="宋体" w:hAnsi="宋体"/>
                <w:color w:val="auto"/>
                <w:sz w:val="21"/>
                <w:szCs w:val="21"/>
              </w:rPr>
            </w:pPr>
          </w:p>
        </w:tc>
        <w:tc>
          <w:tcPr>
            <w:tcW w:w="1022" w:type="dxa"/>
            <w:vAlign w:val="center"/>
          </w:tcPr>
          <w:p>
            <w:pPr>
              <w:spacing w:line="360" w:lineRule="auto"/>
              <w:ind w:left="178" w:leftChars="85"/>
              <w:jc w:val="center"/>
              <w:rPr>
                <w:rFonts w:hint="eastAsia" w:ascii="宋体" w:hAnsi="宋体"/>
                <w:color w:val="auto"/>
                <w:sz w:val="21"/>
                <w:szCs w:val="21"/>
              </w:rPr>
            </w:pPr>
          </w:p>
        </w:tc>
        <w:tc>
          <w:tcPr>
            <w:tcW w:w="644" w:type="dxa"/>
            <w:vAlign w:val="center"/>
          </w:tcPr>
          <w:p>
            <w:pPr>
              <w:spacing w:line="360" w:lineRule="auto"/>
              <w:ind w:left="178" w:leftChars="85"/>
              <w:jc w:val="center"/>
              <w:rPr>
                <w:rFonts w:hint="eastAsia" w:ascii="宋体" w:hAnsi="宋体"/>
                <w:color w:val="auto"/>
                <w:sz w:val="21"/>
                <w:szCs w:val="21"/>
              </w:rPr>
            </w:pPr>
          </w:p>
        </w:tc>
        <w:tc>
          <w:tcPr>
            <w:tcW w:w="1582" w:type="dxa"/>
            <w:vAlign w:val="center"/>
          </w:tcPr>
          <w:p>
            <w:pPr>
              <w:spacing w:line="360" w:lineRule="auto"/>
              <w:ind w:left="178" w:leftChars="85"/>
              <w:jc w:val="center"/>
              <w:rPr>
                <w:rFonts w:hint="eastAsia" w:ascii="宋体" w:hAnsi="宋体"/>
                <w:color w:val="auto"/>
                <w:sz w:val="21"/>
                <w:szCs w:val="21"/>
              </w:rPr>
            </w:pPr>
          </w:p>
        </w:tc>
        <w:tc>
          <w:tcPr>
            <w:tcW w:w="1520" w:type="dxa"/>
            <w:vAlign w:val="center"/>
          </w:tcPr>
          <w:p>
            <w:pPr>
              <w:spacing w:line="360" w:lineRule="auto"/>
              <w:ind w:left="178" w:leftChars="85"/>
              <w:jc w:val="center"/>
              <w:rPr>
                <w:rFonts w:hint="eastAsia" w:ascii="宋体" w:hAnsi="宋体"/>
                <w:color w:val="auto"/>
                <w:sz w:val="21"/>
                <w:szCs w:val="21"/>
              </w:rPr>
            </w:pPr>
          </w:p>
        </w:tc>
        <w:tc>
          <w:tcPr>
            <w:tcW w:w="1152" w:type="dxa"/>
            <w:vAlign w:val="center"/>
          </w:tcPr>
          <w:p>
            <w:pPr>
              <w:spacing w:line="360" w:lineRule="auto"/>
              <w:ind w:left="178" w:leftChars="85"/>
              <w:jc w:val="center"/>
              <w:rPr>
                <w:rFonts w:hint="eastAsia" w:ascii="宋体" w:hAnsi="宋体"/>
                <w:color w:val="auto"/>
                <w:sz w:val="21"/>
                <w:szCs w:val="21"/>
              </w:rPr>
            </w:pPr>
          </w:p>
        </w:tc>
        <w:tc>
          <w:tcPr>
            <w:tcW w:w="2009" w:type="dxa"/>
            <w:vAlign w:val="center"/>
          </w:tcPr>
          <w:p>
            <w:pPr>
              <w:spacing w:line="360" w:lineRule="auto"/>
              <w:ind w:left="178" w:leftChars="85"/>
              <w:jc w:val="center"/>
              <w:rPr>
                <w:rFonts w:hint="eastAsia" w:ascii="宋体" w:hAnsi="宋体"/>
                <w:color w:val="auto"/>
                <w:sz w:val="21"/>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jc w:val="center"/>
        </w:trPr>
        <w:tc>
          <w:tcPr>
            <w:tcW w:w="1338" w:type="dxa"/>
            <w:vMerge w:val="restart"/>
            <w:vAlign w:val="center"/>
          </w:tcPr>
          <w:p>
            <w:pPr>
              <w:spacing w:line="360" w:lineRule="auto"/>
              <w:ind w:left="178" w:leftChars="85"/>
              <w:jc w:val="center"/>
              <w:rPr>
                <w:rFonts w:hint="eastAsia" w:ascii="宋体" w:hAnsi="宋体"/>
                <w:color w:val="auto"/>
                <w:sz w:val="21"/>
                <w:szCs w:val="21"/>
              </w:rPr>
            </w:pPr>
            <w:r>
              <w:rPr>
                <w:rFonts w:hint="eastAsia" w:ascii="宋体" w:hAnsi="宋体"/>
                <w:color w:val="auto"/>
                <w:sz w:val="21"/>
                <w:szCs w:val="21"/>
              </w:rPr>
              <w:t>注册咨询工程师（投资）</w:t>
            </w:r>
          </w:p>
        </w:tc>
        <w:tc>
          <w:tcPr>
            <w:tcW w:w="1022" w:type="dxa"/>
            <w:vAlign w:val="center"/>
          </w:tcPr>
          <w:p>
            <w:pPr>
              <w:spacing w:line="360" w:lineRule="auto"/>
              <w:ind w:left="178" w:leftChars="85"/>
              <w:jc w:val="center"/>
              <w:rPr>
                <w:rFonts w:hint="eastAsia" w:ascii="宋体" w:hAnsi="宋体"/>
                <w:color w:val="auto"/>
                <w:sz w:val="21"/>
                <w:szCs w:val="21"/>
              </w:rPr>
            </w:pPr>
          </w:p>
        </w:tc>
        <w:tc>
          <w:tcPr>
            <w:tcW w:w="644" w:type="dxa"/>
            <w:vAlign w:val="center"/>
          </w:tcPr>
          <w:p>
            <w:pPr>
              <w:spacing w:line="360" w:lineRule="auto"/>
              <w:ind w:left="178" w:leftChars="85"/>
              <w:jc w:val="center"/>
              <w:rPr>
                <w:rFonts w:hint="eastAsia" w:ascii="宋体" w:hAnsi="宋体"/>
                <w:color w:val="auto"/>
                <w:sz w:val="21"/>
                <w:szCs w:val="21"/>
              </w:rPr>
            </w:pPr>
          </w:p>
        </w:tc>
        <w:tc>
          <w:tcPr>
            <w:tcW w:w="1582" w:type="dxa"/>
            <w:vAlign w:val="center"/>
          </w:tcPr>
          <w:p>
            <w:pPr>
              <w:spacing w:line="360" w:lineRule="auto"/>
              <w:ind w:left="178" w:leftChars="85"/>
              <w:jc w:val="center"/>
              <w:rPr>
                <w:rFonts w:hint="eastAsia" w:ascii="宋体" w:hAnsi="宋体"/>
                <w:color w:val="auto"/>
                <w:sz w:val="21"/>
                <w:szCs w:val="21"/>
              </w:rPr>
            </w:pPr>
          </w:p>
        </w:tc>
        <w:tc>
          <w:tcPr>
            <w:tcW w:w="1520" w:type="dxa"/>
            <w:vAlign w:val="center"/>
          </w:tcPr>
          <w:p>
            <w:pPr>
              <w:spacing w:line="360" w:lineRule="auto"/>
              <w:ind w:left="178" w:leftChars="85"/>
              <w:jc w:val="center"/>
              <w:rPr>
                <w:rFonts w:hint="eastAsia" w:ascii="宋体" w:hAnsi="宋体"/>
                <w:color w:val="auto"/>
                <w:sz w:val="21"/>
                <w:szCs w:val="21"/>
              </w:rPr>
            </w:pPr>
          </w:p>
        </w:tc>
        <w:tc>
          <w:tcPr>
            <w:tcW w:w="1152" w:type="dxa"/>
            <w:vAlign w:val="center"/>
          </w:tcPr>
          <w:p>
            <w:pPr>
              <w:spacing w:line="360" w:lineRule="auto"/>
              <w:ind w:left="178" w:leftChars="85"/>
              <w:jc w:val="center"/>
              <w:rPr>
                <w:rFonts w:hint="eastAsia" w:ascii="宋体" w:hAnsi="宋体"/>
                <w:color w:val="auto"/>
                <w:sz w:val="21"/>
                <w:szCs w:val="21"/>
              </w:rPr>
            </w:pPr>
          </w:p>
        </w:tc>
        <w:tc>
          <w:tcPr>
            <w:tcW w:w="2009" w:type="dxa"/>
            <w:vAlign w:val="center"/>
          </w:tcPr>
          <w:p>
            <w:pPr>
              <w:spacing w:line="360" w:lineRule="auto"/>
              <w:ind w:left="178" w:leftChars="85"/>
              <w:jc w:val="center"/>
              <w:rPr>
                <w:rFonts w:hint="eastAsia" w:ascii="宋体" w:hAnsi="宋体"/>
                <w:color w:val="auto"/>
                <w:sz w:val="21"/>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jc w:val="center"/>
        </w:trPr>
        <w:tc>
          <w:tcPr>
            <w:tcW w:w="1338" w:type="dxa"/>
            <w:vMerge w:val="continue"/>
            <w:vAlign w:val="center"/>
          </w:tcPr>
          <w:p>
            <w:pPr>
              <w:spacing w:line="360" w:lineRule="auto"/>
              <w:ind w:left="178" w:leftChars="85"/>
              <w:jc w:val="center"/>
              <w:rPr>
                <w:rFonts w:hint="eastAsia" w:ascii="宋体" w:hAnsi="宋体"/>
                <w:color w:val="auto"/>
                <w:sz w:val="21"/>
                <w:szCs w:val="21"/>
              </w:rPr>
            </w:pPr>
          </w:p>
        </w:tc>
        <w:tc>
          <w:tcPr>
            <w:tcW w:w="1022" w:type="dxa"/>
            <w:vAlign w:val="center"/>
          </w:tcPr>
          <w:p>
            <w:pPr>
              <w:spacing w:line="360" w:lineRule="auto"/>
              <w:ind w:left="178" w:leftChars="85"/>
              <w:jc w:val="center"/>
              <w:rPr>
                <w:rFonts w:hint="eastAsia" w:ascii="宋体" w:hAnsi="宋体"/>
                <w:color w:val="auto"/>
                <w:sz w:val="21"/>
                <w:szCs w:val="21"/>
              </w:rPr>
            </w:pPr>
          </w:p>
        </w:tc>
        <w:tc>
          <w:tcPr>
            <w:tcW w:w="644" w:type="dxa"/>
            <w:vAlign w:val="center"/>
          </w:tcPr>
          <w:p>
            <w:pPr>
              <w:spacing w:line="360" w:lineRule="auto"/>
              <w:ind w:left="178" w:leftChars="85"/>
              <w:jc w:val="center"/>
              <w:rPr>
                <w:rFonts w:hint="eastAsia" w:ascii="宋体" w:hAnsi="宋体"/>
                <w:color w:val="auto"/>
                <w:sz w:val="21"/>
                <w:szCs w:val="21"/>
              </w:rPr>
            </w:pPr>
          </w:p>
        </w:tc>
        <w:tc>
          <w:tcPr>
            <w:tcW w:w="1582" w:type="dxa"/>
            <w:vAlign w:val="center"/>
          </w:tcPr>
          <w:p>
            <w:pPr>
              <w:spacing w:line="360" w:lineRule="auto"/>
              <w:ind w:left="178" w:leftChars="85"/>
              <w:jc w:val="center"/>
              <w:rPr>
                <w:rFonts w:hint="eastAsia" w:ascii="宋体" w:hAnsi="宋体"/>
                <w:color w:val="auto"/>
                <w:sz w:val="21"/>
                <w:szCs w:val="21"/>
              </w:rPr>
            </w:pPr>
          </w:p>
        </w:tc>
        <w:tc>
          <w:tcPr>
            <w:tcW w:w="1520" w:type="dxa"/>
            <w:vAlign w:val="center"/>
          </w:tcPr>
          <w:p>
            <w:pPr>
              <w:spacing w:line="360" w:lineRule="auto"/>
              <w:ind w:left="178" w:leftChars="85"/>
              <w:jc w:val="center"/>
              <w:rPr>
                <w:rFonts w:hint="eastAsia" w:ascii="宋体" w:hAnsi="宋体"/>
                <w:color w:val="auto"/>
                <w:sz w:val="21"/>
                <w:szCs w:val="21"/>
              </w:rPr>
            </w:pPr>
          </w:p>
        </w:tc>
        <w:tc>
          <w:tcPr>
            <w:tcW w:w="1152" w:type="dxa"/>
            <w:vAlign w:val="center"/>
          </w:tcPr>
          <w:p>
            <w:pPr>
              <w:spacing w:line="360" w:lineRule="auto"/>
              <w:ind w:left="178" w:leftChars="85"/>
              <w:jc w:val="center"/>
              <w:rPr>
                <w:rFonts w:hint="eastAsia" w:ascii="宋体" w:hAnsi="宋体"/>
                <w:color w:val="auto"/>
                <w:sz w:val="21"/>
                <w:szCs w:val="21"/>
              </w:rPr>
            </w:pPr>
          </w:p>
        </w:tc>
        <w:tc>
          <w:tcPr>
            <w:tcW w:w="2009" w:type="dxa"/>
            <w:vAlign w:val="center"/>
          </w:tcPr>
          <w:p>
            <w:pPr>
              <w:spacing w:line="360" w:lineRule="auto"/>
              <w:ind w:left="178" w:leftChars="85"/>
              <w:jc w:val="center"/>
              <w:rPr>
                <w:rFonts w:hint="eastAsia" w:ascii="宋体" w:hAnsi="宋体"/>
                <w:color w:val="auto"/>
                <w:sz w:val="21"/>
                <w:szCs w:val="21"/>
              </w:rPr>
            </w:pPr>
          </w:p>
        </w:tc>
      </w:tr>
      <w:tr>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fixed"/>
          <w:tblCellMar>
            <w:top w:w="0" w:type="dxa"/>
            <w:left w:w="108" w:type="dxa"/>
            <w:bottom w:w="0" w:type="dxa"/>
            <w:right w:w="108" w:type="dxa"/>
          </w:tblCellMar>
        </w:tblPrEx>
        <w:trPr>
          <w:jc w:val="center"/>
        </w:trPr>
        <w:tc>
          <w:tcPr>
            <w:tcW w:w="1338" w:type="dxa"/>
            <w:vAlign w:val="center"/>
          </w:tcPr>
          <w:p>
            <w:pPr>
              <w:spacing w:line="360" w:lineRule="auto"/>
              <w:ind w:left="178" w:leftChars="85"/>
              <w:jc w:val="center"/>
              <w:rPr>
                <w:rFonts w:hint="eastAsia" w:ascii="宋体" w:hAnsi="宋体"/>
                <w:color w:val="auto"/>
                <w:sz w:val="21"/>
                <w:szCs w:val="21"/>
              </w:rPr>
            </w:pPr>
            <w:r>
              <w:rPr>
                <w:rFonts w:hint="eastAsia" w:ascii="宋体" w:hAnsi="宋体"/>
                <w:color w:val="auto"/>
                <w:sz w:val="21"/>
                <w:szCs w:val="21"/>
              </w:rPr>
              <w:t>统计</w:t>
            </w:r>
          </w:p>
        </w:tc>
        <w:tc>
          <w:tcPr>
            <w:tcW w:w="7929" w:type="dxa"/>
            <w:gridSpan w:val="6"/>
            <w:vAlign w:val="center"/>
          </w:tcPr>
          <w:p>
            <w:pPr>
              <w:spacing w:line="360" w:lineRule="auto"/>
              <w:ind w:left="178" w:leftChars="85"/>
              <w:rPr>
                <w:rFonts w:hint="eastAsia" w:ascii="宋体" w:hAnsi="宋体"/>
                <w:color w:val="auto"/>
                <w:sz w:val="21"/>
                <w:szCs w:val="21"/>
              </w:rPr>
            </w:pPr>
            <w:r>
              <w:rPr>
                <w:rFonts w:hint="eastAsia" w:ascii="宋体" w:hAnsi="宋体"/>
                <w:color w:val="auto"/>
                <w:sz w:val="21"/>
                <w:szCs w:val="21"/>
              </w:rPr>
              <w:t>投入人员合共</w:t>
            </w:r>
            <w:r>
              <w:rPr>
                <w:rFonts w:hint="eastAsia" w:ascii="宋体" w:hAnsi="宋体"/>
                <w:color w:val="auto"/>
                <w:sz w:val="21"/>
                <w:szCs w:val="21"/>
                <w:u w:val="single"/>
              </w:rPr>
              <w:t xml:space="preserve">   </w:t>
            </w:r>
            <w:r>
              <w:rPr>
                <w:rFonts w:hint="eastAsia" w:ascii="宋体" w:hAnsi="宋体"/>
                <w:color w:val="auto"/>
                <w:sz w:val="21"/>
                <w:szCs w:val="21"/>
              </w:rPr>
              <w:t>人。其中工程造价咨询业务人员</w:t>
            </w:r>
            <w:r>
              <w:rPr>
                <w:rFonts w:hint="eastAsia" w:ascii="宋体" w:hAnsi="宋体"/>
                <w:color w:val="auto"/>
                <w:sz w:val="21"/>
                <w:szCs w:val="21"/>
                <w:u w:val="single"/>
              </w:rPr>
              <w:t xml:space="preserve">   </w:t>
            </w:r>
            <w:r>
              <w:rPr>
                <w:rFonts w:hint="eastAsia" w:ascii="宋体" w:hAnsi="宋体"/>
                <w:color w:val="auto"/>
                <w:sz w:val="21"/>
                <w:szCs w:val="21"/>
              </w:rPr>
              <w:t>人；注册造价工程师</w:t>
            </w:r>
            <w:r>
              <w:rPr>
                <w:rFonts w:hint="eastAsia" w:ascii="宋体" w:hAnsi="宋体"/>
                <w:color w:val="auto"/>
                <w:sz w:val="21"/>
                <w:szCs w:val="21"/>
                <w:u w:val="single"/>
              </w:rPr>
              <w:t xml:space="preserve">   </w:t>
            </w:r>
            <w:r>
              <w:rPr>
                <w:rFonts w:hint="eastAsia" w:ascii="宋体" w:hAnsi="宋体"/>
                <w:color w:val="auto"/>
                <w:sz w:val="21"/>
                <w:szCs w:val="21"/>
              </w:rPr>
              <w:t>人；高级工程师</w:t>
            </w:r>
            <w:r>
              <w:rPr>
                <w:rFonts w:hint="eastAsia" w:ascii="宋体" w:hAnsi="宋体"/>
                <w:color w:val="auto"/>
                <w:sz w:val="21"/>
                <w:szCs w:val="21"/>
                <w:u w:val="single"/>
              </w:rPr>
              <w:t xml:space="preserve">   </w:t>
            </w:r>
            <w:r>
              <w:rPr>
                <w:rFonts w:hint="eastAsia" w:ascii="宋体" w:hAnsi="宋体"/>
                <w:color w:val="auto"/>
                <w:sz w:val="21"/>
                <w:szCs w:val="21"/>
              </w:rPr>
              <w:t>人；注册咨询工程师（投资）</w:t>
            </w:r>
            <w:r>
              <w:rPr>
                <w:rFonts w:hint="eastAsia" w:ascii="宋体" w:hAnsi="宋体"/>
                <w:color w:val="auto"/>
                <w:sz w:val="21"/>
                <w:szCs w:val="21"/>
                <w:u w:val="single"/>
              </w:rPr>
              <w:t xml:space="preserve">   </w:t>
            </w:r>
            <w:r>
              <w:rPr>
                <w:rFonts w:hint="eastAsia" w:ascii="宋体" w:hAnsi="宋体"/>
                <w:color w:val="auto"/>
                <w:sz w:val="21"/>
                <w:szCs w:val="21"/>
              </w:rPr>
              <w:t>人；专业类型：</w:t>
            </w:r>
            <w:r>
              <w:rPr>
                <w:rFonts w:hint="eastAsia" w:ascii="宋体" w:hAnsi="宋体"/>
                <w:color w:val="auto"/>
                <w:sz w:val="21"/>
                <w:szCs w:val="21"/>
                <w:u w:val="single"/>
              </w:rPr>
              <w:t xml:space="preserve">    </w:t>
            </w:r>
            <w:r>
              <w:rPr>
                <w:rFonts w:hint="eastAsia" w:ascii="宋体" w:hAnsi="宋体"/>
                <w:color w:val="auto"/>
                <w:sz w:val="21"/>
                <w:szCs w:val="21"/>
              </w:rPr>
              <w:t>、</w:t>
            </w:r>
            <w:r>
              <w:rPr>
                <w:rFonts w:hint="eastAsia" w:ascii="宋体" w:hAnsi="宋体"/>
                <w:color w:val="auto"/>
                <w:sz w:val="21"/>
                <w:szCs w:val="21"/>
                <w:u w:val="single"/>
              </w:rPr>
              <w:t xml:space="preserve">    </w:t>
            </w:r>
            <w:r>
              <w:rPr>
                <w:rFonts w:hint="eastAsia" w:ascii="宋体" w:hAnsi="宋体"/>
                <w:color w:val="auto"/>
                <w:sz w:val="21"/>
                <w:szCs w:val="21"/>
              </w:rPr>
              <w:t>、</w:t>
            </w:r>
            <w:r>
              <w:rPr>
                <w:rFonts w:hint="eastAsia" w:ascii="宋体" w:hAnsi="宋体"/>
                <w:color w:val="auto"/>
                <w:sz w:val="21"/>
                <w:szCs w:val="21"/>
                <w:u w:val="single"/>
              </w:rPr>
              <w:t xml:space="preserve">    </w:t>
            </w:r>
          </w:p>
        </w:tc>
      </w:tr>
    </w:tbl>
    <w:p>
      <w:pPr>
        <w:snapToGrid w:val="0"/>
        <w:ind w:firstLine="420" w:firstLineChars="200"/>
        <w:rPr>
          <w:rFonts w:hint="eastAsia" w:ascii="黑体" w:hAnsi="宋体" w:eastAsia="黑体"/>
          <w:color w:val="auto"/>
          <w:sz w:val="21"/>
          <w:szCs w:val="21"/>
        </w:rPr>
      </w:pPr>
      <w:r>
        <w:rPr>
          <w:rFonts w:hint="eastAsia" w:ascii="黑体" w:hAnsi="宋体" w:eastAsia="黑体"/>
          <w:color w:val="auto"/>
          <w:sz w:val="21"/>
          <w:szCs w:val="21"/>
        </w:rPr>
        <w:t>备注：</w:t>
      </w:r>
      <w:r>
        <w:rPr>
          <w:rFonts w:hint="eastAsia" w:ascii="黑体" w:hAnsi="宋体" w:eastAsia="黑体"/>
          <w:color w:val="auto"/>
          <w:sz w:val="21"/>
          <w:szCs w:val="21"/>
          <w:lang w:eastAsia="zh-CN"/>
        </w:rPr>
        <w:t>报价人</w:t>
      </w:r>
      <w:r>
        <w:rPr>
          <w:rFonts w:hint="eastAsia" w:ascii="黑体" w:hAnsi="宋体" w:eastAsia="黑体"/>
          <w:color w:val="auto"/>
          <w:sz w:val="21"/>
          <w:szCs w:val="21"/>
        </w:rPr>
        <w:t>应随表提供相关人员的资格/职称证明文件复印件（加盖公章）、</w:t>
      </w:r>
      <w:r>
        <w:rPr>
          <w:rFonts w:hint="eastAsia" w:ascii="黑体" w:hAnsi="华文中宋" w:eastAsia="黑体"/>
          <w:color w:val="auto"/>
          <w:sz w:val="21"/>
          <w:szCs w:val="21"/>
          <w:lang w:eastAsia="zh-CN"/>
        </w:rPr>
        <w:t>报价人</w:t>
      </w:r>
      <w:r>
        <w:rPr>
          <w:rFonts w:hint="eastAsia" w:ascii="黑体" w:hAnsi="华文中宋" w:eastAsia="黑体"/>
          <w:color w:val="auto"/>
          <w:sz w:val="21"/>
          <w:szCs w:val="21"/>
        </w:rPr>
        <w:t>（企业）近期参加社会保险人员清单（加盖社保业务专用章）</w:t>
      </w:r>
      <w:r>
        <w:rPr>
          <w:rFonts w:hint="eastAsia" w:ascii="黑体" w:hAnsi="宋体" w:eastAsia="黑体"/>
          <w:color w:val="auto"/>
          <w:sz w:val="21"/>
          <w:szCs w:val="21"/>
        </w:rPr>
        <w:t>的复印件，否则，将对</w:t>
      </w:r>
      <w:r>
        <w:rPr>
          <w:rFonts w:hint="eastAsia" w:ascii="黑体" w:hAnsi="宋体" w:eastAsia="黑体"/>
          <w:color w:val="auto"/>
          <w:sz w:val="21"/>
          <w:szCs w:val="21"/>
          <w:lang w:eastAsia="zh-CN"/>
        </w:rPr>
        <w:t>报价人</w:t>
      </w:r>
      <w:r>
        <w:rPr>
          <w:rFonts w:hint="eastAsia" w:ascii="黑体" w:hAnsi="宋体" w:eastAsia="黑体"/>
          <w:color w:val="auto"/>
          <w:sz w:val="21"/>
          <w:szCs w:val="21"/>
        </w:rPr>
        <w:t>产生非常不利的影响。</w:t>
      </w:r>
    </w:p>
    <w:p>
      <w:pPr>
        <w:spacing w:line="360" w:lineRule="auto"/>
        <w:ind w:left="178" w:leftChars="85"/>
        <w:rPr>
          <w:rFonts w:hint="eastAsia" w:ascii="宋体" w:hAnsi="宋体"/>
          <w:b/>
          <w:color w:val="auto"/>
          <w:sz w:val="21"/>
          <w:szCs w:val="21"/>
        </w:rPr>
      </w:pPr>
    </w:p>
    <w:p>
      <w:pPr>
        <w:spacing w:line="360" w:lineRule="auto"/>
        <w:ind w:firstLine="422" w:firstLineChars="200"/>
        <w:rPr>
          <w:rFonts w:hint="eastAsia" w:ascii="宋体" w:hAnsi="宋体"/>
          <w:b/>
          <w:color w:val="auto"/>
          <w:sz w:val="21"/>
          <w:szCs w:val="21"/>
        </w:rPr>
      </w:pPr>
      <w:r>
        <w:rPr>
          <w:rFonts w:hint="eastAsia" w:ascii="宋体" w:hAnsi="宋体"/>
          <w:b/>
          <w:color w:val="auto"/>
          <w:sz w:val="21"/>
          <w:szCs w:val="21"/>
        </w:rPr>
        <w:t>二、企业经营管理情况</w:t>
      </w:r>
    </w:p>
    <w:p>
      <w:pPr>
        <w:spacing w:line="360" w:lineRule="auto"/>
        <w:ind w:firstLine="420" w:firstLineChars="200"/>
        <w:rPr>
          <w:rFonts w:hint="eastAsia" w:ascii="宋体" w:hAnsi="宋体"/>
          <w:color w:val="auto"/>
          <w:sz w:val="21"/>
          <w:szCs w:val="21"/>
        </w:rPr>
      </w:pPr>
      <w:r>
        <w:rPr>
          <w:rFonts w:hint="eastAsia" w:ascii="宋体" w:hAnsi="宋体"/>
          <w:color w:val="auto"/>
          <w:sz w:val="21"/>
          <w:szCs w:val="21"/>
        </w:rPr>
        <w:t>1. 企业规章制度（包括业务档案管理制度、人事管理制度、财务管理制度和保密管理制度等）</w:t>
      </w:r>
    </w:p>
    <w:p>
      <w:pPr>
        <w:ind w:firstLine="420" w:firstLineChars="200"/>
        <w:rPr>
          <w:rFonts w:hint="eastAsia"/>
          <w:b/>
          <w:color w:val="auto"/>
          <w:sz w:val="21"/>
          <w:szCs w:val="21"/>
          <w:highlight w:val="yellow"/>
        </w:rPr>
      </w:pPr>
      <w:r>
        <w:rPr>
          <w:rFonts w:hint="eastAsia" w:ascii="宋体" w:hAnsi="宋体"/>
          <w:color w:val="auto"/>
          <w:sz w:val="21"/>
          <w:szCs w:val="21"/>
        </w:rPr>
        <w:t>2. 相关证书、许可、奖项证明文件复印件并加盖公章，否则视为无效奖项。</w:t>
      </w:r>
    </w:p>
    <w:p>
      <w:pPr>
        <w:spacing w:line="360" w:lineRule="auto"/>
        <w:ind w:firstLine="420" w:firstLineChars="200"/>
        <w:rPr>
          <w:rFonts w:hint="eastAsia" w:ascii="宋体" w:hAnsi="宋体"/>
          <w:color w:val="auto"/>
          <w:sz w:val="21"/>
          <w:szCs w:val="21"/>
        </w:rPr>
      </w:pP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422" w:firstLineChars="200"/>
        <w:jc w:val="left"/>
        <w:textAlignment w:val="auto"/>
        <w:outlineLvl w:val="9"/>
        <w:rPr>
          <w:rFonts w:hint="eastAsia" w:ascii="宋体" w:hAnsi="宋体"/>
          <w:b/>
          <w:color w:val="auto"/>
          <w:sz w:val="21"/>
          <w:szCs w:val="21"/>
        </w:rPr>
      </w:pPr>
      <w:r>
        <w:rPr>
          <w:rFonts w:hint="eastAsia" w:ascii="宋体" w:hAnsi="宋体"/>
          <w:b/>
          <w:color w:val="auto"/>
          <w:sz w:val="21"/>
          <w:szCs w:val="21"/>
        </w:rPr>
        <w:t>三、服务质量保证</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420" w:firstLineChars="200"/>
        <w:jc w:val="left"/>
        <w:textAlignment w:val="auto"/>
        <w:outlineLvl w:val="9"/>
        <w:rPr>
          <w:rFonts w:hint="eastAsia" w:ascii="宋体" w:hAnsi="宋体"/>
          <w:color w:val="auto"/>
          <w:sz w:val="21"/>
          <w:szCs w:val="21"/>
        </w:rPr>
      </w:pPr>
      <w:r>
        <w:rPr>
          <w:rFonts w:hint="eastAsia" w:ascii="宋体" w:hAnsi="宋体"/>
          <w:color w:val="auto"/>
          <w:sz w:val="21"/>
          <w:szCs w:val="21"/>
        </w:rPr>
        <w:t>1. 交通工具、现代办公设备和造价评审管理软件情况介绍。</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420" w:firstLineChars="200"/>
        <w:jc w:val="left"/>
        <w:textAlignment w:val="auto"/>
        <w:outlineLvl w:val="9"/>
        <w:rPr>
          <w:rFonts w:hint="eastAsia" w:ascii="宋体" w:hAnsi="宋体"/>
          <w:color w:val="auto"/>
          <w:sz w:val="21"/>
          <w:szCs w:val="21"/>
        </w:rPr>
      </w:pPr>
      <w:r>
        <w:rPr>
          <w:rFonts w:hint="eastAsia" w:ascii="宋体" w:hAnsi="宋体"/>
          <w:color w:val="auto"/>
          <w:sz w:val="21"/>
          <w:szCs w:val="21"/>
        </w:rPr>
        <w:t>2. 服务质量保证和服务效率措施。</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420" w:firstLineChars="200"/>
        <w:jc w:val="left"/>
        <w:textAlignment w:val="auto"/>
        <w:outlineLvl w:val="9"/>
        <w:rPr>
          <w:rFonts w:hint="eastAsia" w:ascii="宋体" w:hAnsi="宋体"/>
          <w:color w:val="auto"/>
          <w:sz w:val="21"/>
          <w:szCs w:val="21"/>
        </w:rPr>
      </w:pPr>
      <w:r>
        <w:rPr>
          <w:rFonts w:hint="eastAsia" w:ascii="宋体" w:hAnsi="宋体"/>
          <w:color w:val="auto"/>
          <w:sz w:val="21"/>
          <w:szCs w:val="21"/>
        </w:rPr>
        <w:t>3. 2015年～2017年承接过财政投资评审的估（概）算、预算、结算的合同和经委托人确认的成果凭证。</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420" w:firstLineChars="200"/>
        <w:jc w:val="left"/>
        <w:textAlignment w:val="auto"/>
        <w:outlineLvl w:val="9"/>
        <w:rPr>
          <w:rFonts w:hint="eastAsia" w:ascii="宋体" w:hAnsi="宋体"/>
          <w:color w:val="auto"/>
          <w:sz w:val="21"/>
          <w:szCs w:val="21"/>
        </w:rPr>
      </w:pPr>
      <w:r>
        <w:rPr>
          <w:rFonts w:hint="eastAsia" w:ascii="宋体" w:hAnsi="宋体"/>
          <w:color w:val="auto"/>
          <w:sz w:val="21"/>
          <w:szCs w:val="21"/>
        </w:rPr>
        <w:t>4. 工作计划的合理性和详细性分析。</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420" w:firstLineChars="200"/>
        <w:jc w:val="left"/>
        <w:textAlignment w:val="auto"/>
        <w:outlineLvl w:val="9"/>
        <w:rPr>
          <w:rFonts w:hint="eastAsia" w:ascii="宋体" w:hAnsi="宋体"/>
          <w:color w:val="auto"/>
          <w:sz w:val="21"/>
          <w:szCs w:val="21"/>
        </w:rPr>
      </w:pPr>
      <w:r>
        <w:rPr>
          <w:rFonts w:hint="eastAsia" w:ascii="宋体" w:hAnsi="宋体"/>
          <w:color w:val="auto"/>
          <w:sz w:val="21"/>
          <w:szCs w:val="21"/>
        </w:rPr>
        <w:t>5. 对本次规划的理解与认识，及对财政投资项目投资控制、项目造价全过程管理、采购文件和合同审查管理等方面提出切实可行的建议和意见。</w:t>
      </w:r>
    </w:p>
    <w:p>
      <w:pPr>
        <w:spacing w:line="480" w:lineRule="exact"/>
        <w:ind w:left="930" w:hanging="926" w:hangingChars="441"/>
        <w:rPr>
          <w:rFonts w:ascii="宋体" w:hAnsi="宋体"/>
          <w:color w:val="auto"/>
          <w:szCs w:val="21"/>
        </w:rPr>
      </w:pPr>
    </w:p>
    <w:p>
      <w:pPr>
        <w:spacing w:line="360" w:lineRule="auto"/>
        <w:rPr>
          <w:rFonts w:ascii="宋体"/>
          <w:color w:val="auto"/>
        </w:rPr>
      </w:pPr>
      <w:r>
        <w:rPr>
          <w:rFonts w:ascii="宋体"/>
          <w:color w:val="auto"/>
        </w:rPr>
        <w:t xml:space="preserve"> </w:t>
      </w:r>
    </w:p>
    <w:p>
      <w:pPr>
        <w:spacing w:line="360" w:lineRule="auto"/>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报价人（公章）：</w:t>
      </w:r>
    </w:p>
    <w:p>
      <w:pPr>
        <w:tabs>
          <w:tab w:val="left" w:pos="676"/>
          <w:tab w:val="left" w:pos="2330"/>
          <w:tab w:val="left" w:pos="9230"/>
        </w:tabs>
        <w:autoSpaceDE w:val="0"/>
        <w:autoSpaceDN w:val="0"/>
        <w:adjustRightInd w:val="0"/>
        <w:spacing w:line="480" w:lineRule="exact"/>
        <w:ind w:left="4700" w:leftChars="2238"/>
        <w:rPr>
          <w:rFonts w:ascii="宋体"/>
          <w:color w:val="auto"/>
        </w:rPr>
      </w:pPr>
    </w:p>
    <w:p>
      <w:pPr>
        <w:tabs>
          <w:tab w:val="left" w:pos="676"/>
          <w:tab w:val="left" w:pos="2330"/>
          <w:tab w:val="left" w:pos="9230"/>
        </w:tabs>
        <w:autoSpaceDE w:val="0"/>
        <w:autoSpaceDN w:val="0"/>
        <w:adjustRightInd w:val="0"/>
        <w:spacing w:line="480" w:lineRule="exact"/>
        <w:ind w:left="4700" w:leftChars="2238"/>
        <w:rPr>
          <w:rFonts w:ascii="宋体"/>
          <w:color w:val="auto"/>
        </w:rPr>
      </w:pPr>
      <w:r>
        <w:rPr>
          <w:rFonts w:hint="eastAsia" w:ascii="宋体"/>
          <w:color w:val="auto"/>
        </w:rPr>
        <w:t>授权代表（签名）：</w:t>
      </w:r>
    </w:p>
    <w:p>
      <w:pPr>
        <w:tabs>
          <w:tab w:val="left" w:pos="676"/>
          <w:tab w:val="left" w:pos="2330"/>
          <w:tab w:val="left" w:pos="9230"/>
        </w:tabs>
        <w:autoSpaceDE w:val="0"/>
        <w:autoSpaceDN w:val="0"/>
        <w:adjustRightInd w:val="0"/>
        <w:spacing w:line="480" w:lineRule="exact"/>
        <w:rPr>
          <w:rFonts w:ascii="宋体"/>
          <w:color w:val="auto"/>
        </w:rPr>
      </w:pPr>
    </w:p>
    <w:p>
      <w:pPr>
        <w:pStyle w:val="14"/>
        <w:spacing w:line="480" w:lineRule="exact"/>
        <w:ind w:left="4700" w:leftChars="2238"/>
        <w:jc w:val="left"/>
        <w:rPr>
          <w:color w:val="auto"/>
        </w:rPr>
        <w:sectPr>
          <w:pgSz w:w="11907" w:h="16840"/>
          <w:pgMar w:top="1440" w:right="1418" w:bottom="1440" w:left="1418" w:header="851" w:footer="851" w:gutter="0"/>
          <w:pgNumType w:fmt="decimal"/>
          <w:cols w:space="720" w:num="1"/>
          <w:docGrid w:linePitch="285" w:charSpace="0"/>
        </w:sectPr>
      </w:pPr>
      <w:r>
        <w:rPr>
          <w:color w:val="auto"/>
        </w:rPr>
        <w:t>日      期：</w:t>
      </w:r>
    </w:p>
    <w:p>
      <w:pPr>
        <w:spacing w:line="480" w:lineRule="exact"/>
        <w:rPr>
          <w:rFonts w:ascii="宋体" w:hAnsi="宋体"/>
          <w:b/>
          <w:color w:val="auto"/>
          <w:sz w:val="28"/>
          <w:szCs w:val="28"/>
        </w:rPr>
      </w:pPr>
      <w:bookmarkStart w:id="42" w:name="_Toc42956290"/>
      <w:r>
        <w:rPr>
          <w:rFonts w:hint="eastAsia" w:ascii="宋体" w:hAnsi="宋体"/>
          <w:b/>
          <w:color w:val="auto"/>
          <w:sz w:val="28"/>
          <w:szCs w:val="28"/>
          <w:lang w:val="en-US" w:eastAsia="zh-CN"/>
        </w:rPr>
        <w:t>9</w:t>
      </w:r>
      <w:r>
        <w:rPr>
          <w:rFonts w:hint="eastAsia" w:ascii="宋体" w:hAnsi="宋体"/>
          <w:b/>
          <w:color w:val="auto"/>
          <w:sz w:val="28"/>
          <w:szCs w:val="28"/>
        </w:rPr>
        <w:t>.3   采购人配合条件</w:t>
      </w:r>
      <w:bookmarkEnd w:id="42"/>
    </w:p>
    <w:p>
      <w:pPr>
        <w:spacing w:line="480" w:lineRule="exact"/>
        <w:rPr>
          <w:rFonts w:ascii="宋体"/>
          <w:b/>
          <w:color w:val="auto"/>
          <w:sz w:val="24"/>
        </w:rPr>
      </w:pPr>
    </w:p>
    <w:p>
      <w:pPr>
        <w:spacing w:line="480" w:lineRule="exact"/>
        <w:jc w:val="center"/>
        <w:rPr>
          <w:rFonts w:ascii="宋体"/>
          <w:b/>
          <w:bCs/>
          <w:color w:val="auto"/>
          <w:sz w:val="28"/>
        </w:rPr>
      </w:pPr>
      <w:r>
        <w:rPr>
          <w:rFonts w:hint="eastAsia" w:ascii="宋体"/>
          <w:b/>
          <w:bCs/>
          <w:color w:val="auto"/>
          <w:sz w:val="28"/>
        </w:rPr>
        <w:t xml:space="preserve"> 采购人配合的条件</w:t>
      </w:r>
    </w:p>
    <w:p>
      <w:pPr>
        <w:spacing w:line="480" w:lineRule="exact"/>
        <w:jc w:val="center"/>
        <w:rPr>
          <w:rFonts w:ascii="宋体"/>
          <w:color w:val="auto"/>
        </w:rPr>
      </w:pPr>
    </w:p>
    <w:p>
      <w:pPr>
        <w:spacing w:line="480" w:lineRule="exact"/>
        <w:ind w:firstLine="403"/>
        <w:rPr>
          <w:rFonts w:ascii="宋体"/>
          <w:color w:val="auto"/>
        </w:rPr>
      </w:pPr>
      <w:r>
        <w:rPr>
          <w:rFonts w:hint="eastAsia"/>
          <w:color w:val="auto"/>
        </w:rPr>
        <w:t>为配合本项目计划进度时间表所进行的各阶段工作，报价人必须列明需采购人配合的工作内容和具体要求。</w:t>
      </w:r>
    </w:p>
    <w:p>
      <w:pPr>
        <w:spacing w:line="480" w:lineRule="exact"/>
        <w:ind w:firstLine="403"/>
        <w:rPr>
          <w:rFonts w:ascii="宋体"/>
          <w:color w:val="auto"/>
        </w:rPr>
      </w:pPr>
    </w:p>
    <w:p>
      <w:pPr>
        <w:spacing w:line="480" w:lineRule="exact"/>
        <w:ind w:firstLine="403"/>
        <w:rPr>
          <w:rFonts w:ascii="宋体"/>
          <w:color w:val="auto"/>
        </w:rPr>
      </w:pPr>
    </w:p>
    <w:p>
      <w:pPr>
        <w:spacing w:line="480" w:lineRule="exact"/>
        <w:ind w:firstLine="403"/>
        <w:rPr>
          <w:rFonts w:ascii="宋体"/>
          <w:color w:val="auto"/>
        </w:rPr>
      </w:pPr>
    </w:p>
    <w:p>
      <w:pPr>
        <w:spacing w:line="480" w:lineRule="exact"/>
        <w:ind w:firstLine="403"/>
        <w:rPr>
          <w:rFonts w:ascii="宋体"/>
          <w:color w:val="auto"/>
        </w:rPr>
      </w:pPr>
    </w:p>
    <w:p>
      <w:pPr>
        <w:spacing w:line="480" w:lineRule="exact"/>
        <w:ind w:firstLine="403"/>
        <w:rPr>
          <w:rFonts w:ascii="宋体"/>
          <w:color w:val="auto"/>
        </w:rPr>
      </w:pPr>
    </w:p>
    <w:p>
      <w:pPr>
        <w:spacing w:line="360" w:lineRule="auto"/>
        <w:ind w:firstLine="4830" w:firstLineChars="2300"/>
        <w:rPr>
          <w:rFonts w:ascii="宋体"/>
          <w:bCs/>
          <w:color w:val="auto"/>
        </w:rPr>
      </w:pPr>
      <w:r>
        <w:rPr>
          <w:rFonts w:hint="eastAsia" w:ascii="宋体"/>
          <w:bCs/>
          <w:color w:val="auto"/>
        </w:rPr>
        <w:t>报 价 人（法人公章）：</w:t>
      </w:r>
    </w:p>
    <w:p>
      <w:pPr>
        <w:spacing w:line="360" w:lineRule="auto"/>
        <w:rPr>
          <w:rFonts w:ascii="宋体"/>
          <w:bCs/>
          <w:color w:val="auto"/>
        </w:rPr>
      </w:pPr>
    </w:p>
    <w:p>
      <w:pPr>
        <w:spacing w:line="360" w:lineRule="auto"/>
        <w:ind w:firstLine="4830" w:firstLineChars="2300"/>
        <w:rPr>
          <w:rFonts w:ascii="宋体"/>
          <w:bCs/>
          <w:color w:val="auto"/>
        </w:rPr>
      </w:pPr>
      <w:r>
        <w:rPr>
          <w:rFonts w:hint="eastAsia" w:ascii="宋体"/>
          <w:bCs/>
          <w:color w:val="auto"/>
        </w:rPr>
        <w:t>授权代表（签字）：</w:t>
      </w:r>
    </w:p>
    <w:p>
      <w:pPr>
        <w:spacing w:line="360" w:lineRule="auto"/>
        <w:rPr>
          <w:rFonts w:ascii="宋体"/>
          <w:bCs/>
          <w:color w:val="auto"/>
        </w:rPr>
      </w:pPr>
    </w:p>
    <w:p>
      <w:pPr>
        <w:spacing w:line="360" w:lineRule="auto"/>
        <w:ind w:firstLine="4830" w:firstLineChars="2300"/>
        <w:rPr>
          <w:rFonts w:ascii="宋体"/>
          <w:bCs/>
          <w:color w:val="auto"/>
        </w:rPr>
      </w:pPr>
      <w:r>
        <w:rPr>
          <w:rFonts w:hint="eastAsia" w:ascii="宋体"/>
          <w:bCs/>
          <w:color w:val="auto"/>
        </w:rPr>
        <w:t>日    期：</w:t>
      </w:r>
    </w:p>
    <w:p>
      <w:pPr>
        <w:pStyle w:val="14"/>
        <w:spacing w:line="480" w:lineRule="exact"/>
        <w:ind w:left="4700" w:leftChars="2238"/>
        <w:rPr>
          <w:color w:val="auto"/>
        </w:rPr>
      </w:pPr>
    </w:p>
    <w:p>
      <w:pPr>
        <w:pStyle w:val="14"/>
        <w:spacing w:line="480" w:lineRule="exact"/>
        <w:ind w:left="4700" w:leftChars="2238"/>
        <w:rPr>
          <w:color w:val="auto"/>
        </w:rPr>
      </w:pPr>
    </w:p>
    <w:p>
      <w:pPr>
        <w:pStyle w:val="14"/>
        <w:spacing w:line="480" w:lineRule="exact"/>
        <w:ind w:left="4700" w:leftChars="2238"/>
        <w:rPr>
          <w:color w:val="auto"/>
        </w:rPr>
      </w:pPr>
    </w:p>
    <w:p>
      <w:pPr>
        <w:pStyle w:val="14"/>
        <w:spacing w:line="480" w:lineRule="exact"/>
        <w:ind w:left="4700" w:leftChars="2238"/>
        <w:rPr>
          <w:color w:val="auto"/>
        </w:rPr>
      </w:pPr>
    </w:p>
    <w:p>
      <w:pPr>
        <w:pStyle w:val="14"/>
        <w:spacing w:line="480" w:lineRule="exact"/>
        <w:ind w:left="4700" w:leftChars="2238"/>
        <w:rPr>
          <w:color w:val="auto"/>
        </w:rPr>
      </w:pPr>
      <w:bookmarkStart w:id="43" w:name="_Hlt10567911"/>
      <w:bookmarkEnd w:id="43"/>
    </w:p>
    <w:p>
      <w:pPr>
        <w:pStyle w:val="14"/>
        <w:spacing w:line="20" w:lineRule="exact"/>
        <w:outlineLvl w:val="0"/>
        <w:rPr>
          <w:color w:val="auto"/>
        </w:rPr>
      </w:pPr>
      <w:r>
        <w:rPr>
          <w:color w:val="auto"/>
        </w:rPr>
        <w:br w:type="page"/>
      </w:r>
      <w:bookmarkStart w:id="44" w:name="_Hlt10523642"/>
      <w:bookmarkEnd w:id="44"/>
    </w:p>
    <w:p>
      <w:pPr>
        <w:pStyle w:val="14"/>
        <w:spacing w:line="20" w:lineRule="exact"/>
        <w:outlineLvl w:val="0"/>
        <w:rPr>
          <w:b/>
          <w:color w:val="auto"/>
          <w:sz w:val="44"/>
          <w:szCs w:val="44"/>
        </w:rPr>
      </w:pPr>
    </w:p>
    <w:p>
      <w:pPr>
        <w:pStyle w:val="14"/>
        <w:spacing w:line="400" w:lineRule="atLeast"/>
        <w:outlineLvl w:val="0"/>
        <w:rPr>
          <w:rFonts w:ascii="Tahoma" w:hAnsi="Tahoma" w:cs="Tahoma"/>
          <w:color w:val="auto"/>
          <w:sz w:val="24"/>
        </w:rPr>
      </w:pPr>
      <w:r>
        <w:rPr>
          <w:rFonts w:hint="eastAsia" w:ascii="Times New Roman" w:hAnsi="Times New Roman"/>
          <w:b/>
          <w:bCs/>
          <w:color w:val="auto"/>
          <w:kern w:val="44"/>
          <w:sz w:val="32"/>
          <w:szCs w:val="32"/>
          <w:lang w:val="en-US" w:eastAsia="zh-CN"/>
        </w:rPr>
        <w:t>10</w:t>
      </w:r>
      <w:r>
        <w:rPr>
          <w:rFonts w:ascii="Tahoma" w:hAnsi="Times New Roman" w:cs="Tahoma"/>
          <w:b/>
          <w:color w:val="auto"/>
          <w:kern w:val="10"/>
        </w:rPr>
        <w:t>、</w:t>
      </w:r>
      <w:r>
        <w:rPr>
          <w:rFonts w:ascii="Times New Roman" w:hAnsi="Times New Roman"/>
          <w:b/>
          <w:bCs/>
          <w:color w:val="auto"/>
          <w:kern w:val="44"/>
          <w:sz w:val="32"/>
          <w:szCs w:val="32"/>
        </w:rPr>
        <w:t>同意</w:t>
      </w:r>
      <w:r>
        <w:rPr>
          <w:rFonts w:hint="eastAsia" w:ascii="Times New Roman" w:hAnsi="Times New Roman"/>
          <w:b/>
          <w:bCs/>
          <w:color w:val="auto"/>
          <w:kern w:val="44"/>
          <w:sz w:val="32"/>
          <w:szCs w:val="32"/>
        </w:rPr>
        <w:t>磋商</w:t>
      </w:r>
      <w:r>
        <w:rPr>
          <w:rFonts w:ascii="Times New Roman" w:hAnsi="Times New Roman"/>
          <w:b/>
          <w:bCs/>
          <w:color w:val="auto"/>
          <w:kern w:val="44"/>
          <w:sz w:val="32"/>
          <w:szCs w:val="32"/>
        </w:rPr>
        <w:t>文件条款声明格式</w:t>
      </w:r>
      <w:r>
        <w:rPr>
          <w:rFonts w:ascii="Tahoma" w:hAnsi="Tahoma" w:cs="Tahoma"/>
          <w:b/>
          <w:color w:val="auto"/>
          <w:kern w:val="10"/>
        </w:rPr>
        <w:cr/>
      </w:r>
    </w:p>
    <w:p>
      <w:pPr>
        <w:pStyle w:val="14"/>
        <w:spacing w:line="400" w:lineRule="atLeast"/>
        <w:jc w:val="center"/>
        <w:rPr>
          <w:rFonts w:hAnsi="宋体"/>
          <w:b/>
          <w:color w:val="auto"/>
          <w:sz w:val="24"/>
        </w:rPr>
      </w:pPr>
      <w:r>
        <w:rPr>
          <w:rFonts w:hint="eastAsia" w:hAnsi="宋体"/>
          <w:b/>
          <w:color w:val="auto"/>
          <w:sz w:val="24"/>
        </w:rPr>
        <w:t>同意磋商文件条款声明</w:t>
      </w:r>
      <w:r>
        <w:rPr>
          <w:rFonts w:hint="eastAsia" w:hAnsi="宋体"/>
          <w:b/>
          <w:color w:val="auto"/>
          <w:sz w:val="24"/>
        </w:rPr>
        <w:cr/>
      </w:r>
    </w:p>
    <w:p>
      <w:pPr>
        <w:pStyle w:val="14"/>
        <w:spacing w:line="400" w:lineRule="atLeast"/>
        <w:rPr>
          <w:rFonts w:hAnsi="宋体"/>
          <w:color w:val="auto"/>
        </w:rPr>
      </w:pPr>
      <w:r>
        <w:rPr>
          <w:rFonts w:hint="eastAsia" w:hAnsi="宋体"/>
          <w:b/>
          <w:color w:val="auto"/>
        </w:rPr>
        <w:t>致:广东晓君招标采购代理有限公司</w:t>
      </w:r>
    </w:p>
    <w:p>
      <w:pPr>
        <w:pStyle w:val="14"/>
        <w:spacing w:line="400" w:lineRule="atLeast"/>
        <w:rPr>
          <w:rFonts w:hAnsi="宋体"/>
          <w:color w:val="auto"/>
        </w:rPr>
      </w:pPr>
    </w:p>
    <w:p>
      <w:pPr>
        <w:pStyle w:val="14"/>
        <w:spacing w:line="400" w:lineRule="atLeast"/>
        <w:ind w:firstLine="420"/>
        <w:rPr>
          <w:rFonts w:hAnsi="宋体"/>
          <w:color w:val="auto"/>
        </w:rPr>
      </w:pPr>
      <w:r>
        <w:rPr>
          <w:rFonts w:hint="eastAsia" w:hAnsi="宋体"/>
          <w:color w:val="auto"/>
        </w:rPr>
        <w:t>为响应你方组织的</w:t>
      </w:r>
      <w:r>
        <w:rPr>
          <w:rFonts w:hint="eastAsia" w:cs="宋体"/>
          <w:b/>
          <w:bCs/>
          <w:color w:val="auto"/>
          <w:szCs w:val="21"/>
          <w:u w:val="single"/>
          <w:lang w:eastAsia="zh-CN"/>
        </w:rPr>
        <w:t>郁南县财政局工程造价咨询定点服务项目</w:t>
      </w:r>
      <w:r>
        <w:rPr>
          <w:rFonts w:hint="eastAsia" w:cs="宋体"/>
          <w:color w:val="auto"/>
          <w:szCs w:val="21"/>
          <w:u w:val="single"/>
        </w:rPr>
        <w:t xml:space="preserve">  </w:t>
      </w:r>
      <w:r>
        <w:rPr>
          <w:rFonts w:hint="eastAsia" w:hAnsi="宋体"/>
          <w:color w:val="auto"/>
          <w:kern w:val="28"/>
        </w:rPr>
        <w:t>的</w:t>
      </w:r>
      <w:r>
        <w:rPr>
          <w:rFonts w:hint="eastAsia" w:hAnsi="宋体"/>
          <w:color w:val="auto"/>
        </w:rPr>
        <w:t>供货及相关服务的竞争性磋商[编号为：</w:t>
      </w:r>
      <w:r>
        <w:rPr>
          <w:rFonts w:hint="eastAsia"/>
          <w:color w:val="auto"/>
          <w:szCs w:val="21"/>
          <w:u w:val="single"/>
        </w:rPr>
        <w:t xml:space="preserve"> </w:t>
      </w:r>
      <w:r>
        <w:rPr>
          <w:rFonts w:hint="eastAsia"/>
          <w:b/>
          <w:bCs/>
          <w:color w:val="auto"/>
          <w:szCs w:val="21"/>
          <w:u w:val="single"/>
        </w:rPr>
        <w:t xml:space="preserve"> </w:t>
      </w:r>
      <w:r>
        <w:rPr>
          <w:rFonts w:hint="eastAsia"/>
          <w:b/>
          <w:bCs/>
          <w:color w:val="auto"/>
          <w:szCs w:val="21"/>
          <w:u w:val="single"/>
          <w:lang w:eastAsia="zh-CN"/>
        </w:rPr>
        <w:t>GDXJ18FCS1005</w:t>
      </w:r>
      <w:r>
        <w:rPr>
          <w:rFonts w:hint="eastAsia"/>
          <w:color w:val="auto"/>
          <w:szCs w:val="21"/>
          <w:u w:val="single"/>
        </w:rPr>
        <w:t xml:space="preserve">  </w:t>
      </w:r>
      <w:r>
        <w:rPr>
          <w:rFonts w:hint="eastAsia" w:hAnsi="宋体"/>
          <w:color w:val="auto"/>
        </w:rPr>
        <w:t>]，我方在参与报价（报价）前已详细研究了磋商文件的所有内容，包括修改文件（如果有的话）和所有已提供的参考资料以及有关附件，我方完全明白并认为此磋商文件没有倾向性，也没有存在排斥潜在报价（报价）人的内容，我方并同意磋商文件的相关条款。</w:t>
      </w:r>
    </w:p>
    <w:p>
      <w:pPr>
        <w:pStyle w:val="14"/>
        <w:spacing w:line="400" w:lineRule="atLeast"/>
        <w:rPr>
          <w:rFonts w:hAnsi="宋体"/>
          <w:color w:val="auto"/>
        </w:rPr>
      </w:pPr>
      <w:r>
        <w:rPr>
          <w:rFonts w:hint="eastAsia" w:hAnsi="宋体"/>
          <w:color w:val="auto"/>
        </w:rPr>
        <w:t xml:space="preserve">    特此声明。</w:t>
      </w:r>
    </w:p>
    <w:p>
      <w:pPr>
        <w:pStyle w:val="14"/>
        <w:spacing w:line="400" w:lineRule="atLeast"/>
        <w:rPr>
          <w:rFonts w:hAnsi="宋体"/>
          <w:color w:val="auto"/>
        </w:rPr>
      </w:pPr>
    </w:p>
    <w:p>
      <w:pPr>
        <w:pStyle w:val="14"/>
        <w:spacing w:line="400" w:lineRule="atLeast"/>
        <w:rPr>
          <w:rFonts w:hAnsi="宋体"/>
          <w:color w:val="auto"/>
        </w:rPr>
      </w:pPr>
    </w:p>
    <w:p>
      <w:pPr>
        <w:pStyle w:val="14"/>
        <w:spacing w:line="400" w:lineRule="atLeast"/>
        <w:rPr>
          <w:rFonts w:hAnsi="宋体"/>
          <w:color w:val="auto"/>
        </w:rPr>
      </w:pPr>
    </w:p>
    <w:p>
      <w:pPr>
        <w:pStyle w:val="14"/>
        <w:spacing w:line="400" w:lineRule="atLeast"/>
        <w:rPr>
          <w:rFonts w:hAnsi="宋体"/>
          <w:color w:val="auto"/>
        </w:rPr>
      </w:pPr>
      <w:r>
        <w:rPr>
          <w:rFonts w:hint="eastAsia" w:hAnsi="宋体"/>
          <w:color w:val="auto"/>
        </w:rPr>
        <w:t>报价（报价）人（公章）：</w:t>
      </w:r>
      <w:r>
        <w:rPr>
          <w:rFonts w:hint="eastAsia" w:hAnsi="宋体"/>
          <w:color w:val="auto"/>
          <w:u w:val="single"/>
        </w:rPr>
        <w:t xml:space="preserve">                       .</w:t>
      </w:r>
    </w:p>
    <w:p>
      <w:pPr>
        <w:pStyle w:val="14"/>
        <w:spacing w:line="400" w:lineRule="atLeast"/>
        <w:rPr>
          <w:rFonts w:hAnsi="宋体"/>
          <w:color w:val="auto"/>
        </w:rPr>
      </w:pPr>
    </w:p>
    <w:p>
      <w:pPr>
        <w:pStyle w:val="14"/>
        <w:spacing w:line="400" w:lineRule="atLeast"/>
        <w:rPr>
          <w:rFonts w:hAnsi="宋体"/>
          <w:color w:val="auto"/>
        </w:rPr>
      </w:pPr>
      <w:r>
        <w:rPr>
          <w:rFonts w:hint="eastAsia" w:hAnsi="宋体"/>
          <w:color w:val="auto"/>
        </w:rPr>
        <w:t>法 定 地 址：</w:t>
      </w:r>
      <w:r>
        <w:rPr>
          <w:rFonts w:hint="eastAsia" w:hAnsi="宋体"/>
          <w:color w:val="auto"/>
          <w:u w:val="single"/>
        </w:rPr>
        <w:t xml:space="preserve">                      </w:t>
      </w:r>
      <w:r>
        <w:rPr>
          <w:rFonts w:hint="eastAsia" w:hAnsi="宋体"/>
          <w:color w:val="auto"/>
        </w:rPr>
        <w:t xml:space="preserve">  </w:t>
      </w:r>
    </w:p>
    <w:p>
      <w:pPr>
        <w:pStyle w:val="14"/>
        <w:spacing w:line="400" w:lineRule="atLeast"/>
        <w:rPr>
          <w:rFonts w:hAnsi="宋体"/>
          <w:color w:val="auto"/>
        </w:rPr>
      </w:pPr>
      <w:r>
        <w:rPr>
          <w:rFonts w:hint="eastAsia" w:hAnsi="宋体"/>
          <w:color w:val="auto"/>
        </w:rPr>
        <w:t>邮       编：</w:t>
      </w:r>
      <w:r>
        <w:rPr>
          <w:rFonts w:hint="eastAsia" w:hAnsi="宋体"/>
          <w:color w:val="auto"/>
          <w:u w:val="single"/>
        </w:rPr>
        <w:t xml:space="preserve">                      </w:t>
      </w:r>
      <w:r>
        <w:rPr>
          <w:rFonts w:hint="eastAsia" w:hAnsi="宋体"/>
          <w:color w:val="auto"/>
        </w:rPr>
        <w:t>.</w:t>
      </w:r>
    </w:p>
    <w:p>
      <w:pPr>
        <w:pStyle w:val="14"/>
        <w:spacing w:line="400" w:lineRule="atLeast"/>
        <w:rPr>
          <w:rFonts w:hAnsi="宋体"/>
          <w:color w:val="auto"/>
        </w:rPr>
      </w:pPr>
    </w:p>
    <w:p>
      <w:pPr>
        <w:pStyle w:val="14"/>
        <w:spacing w:line="400" w:lineRule="atLeast"/>
        <w:rPr>
          <w:rFonts w:hAnsi="宋体"/>
          <w:color w:val="auto"/>
        </w:rPr>
      </w:pPr>
      <w:r>
        <w:rPr>
          <w:rFonts w:hint="eastAsia" w:hAnsi="宋体"/>
          <w:color w:val="auto"/>
        </w:rPr>
        <w:t>授权代表（签字）：</w:t>
      </w:r>
      <w:r>
        <w:rPr>
          <w:rFonts w:hint="eastAsia" w:hAnsi="宋体"/>
          <w:color w:val="auto"/>
          <w:u w:val="single"/>
        </w:rPr>
        <w:t xml:space="preserve">               </w:t>
      </w:r>
      <w:r>
        <w:rPr>
          <w:rFonts w:hint="eastAsia" w:hAnsi="宋体"/>
          <w:color w:val="auto"/>
        </w:rPr>
        <w:t>姓名（印刷体）</w:t>
      </w:r>
      <w:r>
        <w:rPr>
          <w:rFonts w:hint="eastAsia" w:hAnsi="宋体"/>
          <w:color w:val="auto"/>
          <w:u w:val="single"/>
        </w:rPr>
        <w:t xml:space="preserve">                 </w:t>
      </w:r>
      <w:r>
        <w:rPr>
          <w:rFonts w:hint="eastAsia" w:hAnsi="宋体"/>
          <w:color w:val="auto"/>
        </w:rPr>
        <w:t>.</w:t>
      </w:r>
    </w:p>
    <w:p>
      <w:pPr>
        <w:pStyle w:val="14"/>
        <w:spacing w:line="400" w:lineRule="atLeast"/>
        <w:rPr>
          <w:rFonts w:hAnsi="宋体"/>
          <w:color w:val="auto"/>
        </w:rPr>
      </w:pPr>
    </w:p>
    <w:p>
      <w:pPr>
        <w:pStyle w:val="14"/>
        <w:spacing w:line="400" w:lineRule="atLeast"/>
        <w:rPr>
          <w:rFonts w:hAnsi="宋体"/>
          <w:color w:val="auto"/>
        </w:rPr>
      </w:pPr>
      <w:r>
        <w:rPr>
          <w:rFonts w:hint="eastAsia" w:hAnsi="宋体"/>
          <w:color w:val="auto"/>
        </w:rPr>
        <w:t>电       话：</w:t>
      </w:r>
      <w:r>
        <w:rPr>
          <w:rFonts w:hint="eastAsia" w:hAnsi="宋体"/>
          <w:color w:val="auto"/>
          <w:u w:val="single"/>
        </w:rPr>
        <w:t xml:space="preserve">                      </w:t>
      </w:r>
      <w:r>
        <w:rPr>
          <w:rFonts w:hint="eastAsia" w:hAnsi="宋体"/>
          <w:color w:val="auto"/>
        </w:rPr>
        <w:t xml:space="preserve"> </w:t>
      </w:r>
    </w:p>
    <w:p>
      <w:pPr>
        <w:snapToGrid w:val="0"/>
        <w:spacing w:line="400" w:lineRule="atLeast"/>
        <w:rPr>
          <w:color w:val="auto"/>
        </w:rPr>
      </w:pPr>
      <w:r>
        <w:rPr>
          <w:rFonts w:hint="eastAsia" w:hAnsi="宋体"/>
          <w:color w:val="auto"/>
          <w:szCs w:val="21"/>
        </w:rPr>
        <w:t>传       真：</w:t>
      </w:r>
      <w:r>
        <w:rPr>
          <w:rFonts w:hint="eastAsia" w:hAnsi="宋体"/>
          <w:color w:val="auto"/>
          <w:szCs w:val="21"/>
          <w:u w:val="single"/>
        </w:rPr>
        <w:t xml:space="preserve">                      </w:t>
      </w:r>
      <w:r>
        <w:rPr>
          <w:rFonts w:hint="eastAsia" w:hAnsi="宋体"/>
          <w:color w:val="auto"/>
          <w:szCs w:val="21"/>
        </w:rPr>
        <w:t>.</w:t>
      </w:r>
    </w:p>
    <w:p>
      <w:pPr>
        <w:pStyle w:val="14"/>
        <w:spacing w:line="20" w:lineRule="exact"/>
        <w:rPr>
          <w:color w:val="auto"/>
          <w:sz w:val="36"/>
        </w:rPr>
      </w:pPr>
      <w:r>
        <w:rPr>
          <w:color w:val="auto"/>
          <w:sz w:val="36"/>
        </w:rPr>
        <w:br w:type="page"/>
      </w:r>
    </w:p>
    <w:p>
      <w:pPr>
        <w:pStyle w:val="14"/>
        <w:spacing w:line="20" w:lineRule="exact"/>
        <w:rPr>
          <w:color w:val="auto"/>
          <w:szCs w:val="21"/>
        </w:rPr>
      </w:pPr>
    </w:p>
    <w:p>
      <w:pPr>
        <w:pStyle w:val="2"/>
        <w:spacing w:line="480" w:lineRule="exact"/>
        <w:rPr>
          <w:color w:val="auto"/>
          <w:sz w:val="32"/>
          <w:szCs w:val="32"/>
        </w:rPr>
      </w:pPr>
      <w:bookmarkStart w:id="45" w:name="_Hlt10529670"/>
      <w:bookmarkEnd w:id="45"/>
      <w:bookmarkStart w:id="46" w:name="_Hlt10524010"/>
      <w:bookmarkEnd w:id="46"/>
      <w:bookmarkStart w:id="47" w:name="_Hlt10524029"/>
      <w:bookmarkEnd w:id="47"/>
      <w:bookmarkStart w:id="48" w:name="_Hlt10524018"/>
      <w:bookmarkEnd w:id="48"/>
      <w:bookmarkStart w:id="49" w:name="_Hlt10462525"/>
      <w:bookmarkEnd w:id="49"/>
      <w:bookmarkStart w:id="50" w:name="_Toc42951061"/>
      <w:bookmarkStart w:id="51" w:name="_Toc4471835"/>
      <w:r>
        <w:rPr>
          <w:rFonts w:hint="eastAsia"/>
          <w:color w:val="auto"/>
          <w:sz w:val="32"/>
          <w:szCs w:val="32"/>
          <w:lang w:val="en-US" w:eastAsia="zh-CN"/>
        </w:rPr>
        <w:t>11</w:t>
      </w:r>
      <w:r>
        <w:rPr>
          <w:rFonts w:hint="eastAsia"/>
          <w:color w:val="auto"/>
          <w:sz w:val="32"/>
          <w:szCs w:val="32"/>
        </w:rPr>
        <w:t>．报价信封</w:t>
      </w:r>
      <w:bookmarkEnd w:id="50"/>
    </w:p>
    <w:p>
      <w:pPr>
        <w:spacing w:line="480" w:lineRule="exact"/>
        <w:rPr>
          <w:rFonts w:ascii="宋体"/>
          <w:b/>
          <w:color w:val="auto"/>
          <w:sz w:val="32"/>
        </w:rPr>
      </w:pPr>
      <w:r>
        <w:rPr>
          <w:rFonts w:hint="eastAsia" w:ascii="宋体"/>
          <w:b/>
          <w:color w:val="auto"/>
          <w:sz w:val="32"/>
        </w:rPr>
        <w:t>报价信封内装：</w:t>
      </w:r>
    </w:p>
    <w:p>
      <w:pPr>
        <w:spacing w:line="480" w:lineRule="exact"/>
        <w:rPr>
          <w:rFonts w:ascii="宋体"/>
          <w:color w:val="auto"/>
        </w:rPr>
      </w:pPr>
      <w:r>
        <w:rPr>
          <w:rFonts w:hint="eastAsia" w:ascii="宋体"/>
          <w:color w:val="auto"/>
          <w:lang w:val="en-US" w:eastAsia="zh-CN"/>
        </w:rPr>
        <w:t>11</w:t>
      </w:r>
      <w:r>
        <w:rPr>
          <w:rFonts w:hint="eastAsia" w:ascii="宋体"/>
          <w:color w:val="auto"/>
        </w:rPr>
        <w:t>.1 从报价文件正本中复印的报价总表；</w:t>
      </w:r>
    </w:p>
    <w:p>
      <w:pPr>
        <w:spacing w:line="480" w:lineRule="exact"/>
        <w:rPr>
          <w:rFonts w:ascii="宋体"/>
          <w:color w:val="auto"/>
        </w:rPr>
      </w:pPr>
      <w:r>
        <w:rPr>
          <w:rFonts w:hint="eastAsia" w:ascii="宋体"/>
          <w:color w:val="auto"/>
          <w:lang w:val="en-US" w:eastAsia="zh-CN"/>
        </w:rPr>
        <w:t>11</w:t>
      </w:r>
      <w:r>
        <w:rPr>
          <w:rFonts w:hint="eastAsia" w:ascii="宋体"/>
          <w:color w:val="auto"/>
        </w:rPr>
        <w:t>.2 报价保证金交付收据复印件；</w:t>
      </w:r>
    </w:p>
    <w:p>
      <w:pPr>
        <w:spacing w:line="480" w:lineRule="exact"/>
        <w:rPr>
          <w:rFonts w:ascii="宋体"/>
          <w:color w:val="auto"/>
        </w:rPr>
      </w:pPr>
      <w:r>
        <w:rPr>
          <w:rFonts w:hint="eastAsia" w:ascii="宋体"/>
          <w:color w:val="auto"/>
          <w:lang w:val="en-US" w:eastAsia="zh-CN"/>
        </w:rPr>
        <w:t>11</w:t>
      </w:r>
      <w:r>
        <w:rPr>
          <w:rFonts w:hint="eastAsia" w:ascii="宋体"/>
          <w:color w:val="auto"/>
        </w:rPr>
        <w:t>.3 退保证金说明（正本）；</w:t>
      </w:r>
    </w:p>
    <w:p>
      <w:pPr>
        <w:spacing w:line="480" w:lineRule="exact"/>
        <w:rPr>
          <w:rFonts w:ascii="宋体"/>
          <w:color w:val="auto"/>
        </w:rPr>
      </w:pPr>
      <w:r>
        <w:rPr>
          <w:rFonts w:hint="eastAsia" w:ascii="宋体"/>
          <w:color w:val="auto"/>
          <w:lang w:val="en-US" w:eastAsia="zh-CN"/>
        </w:rPr>
        <w:t>11</w:t>
      </w:r>
      <w:r>
        <w:rPr>
          <w:rFonts w:hint="eastAsia" w:ascii="宋体"/>
          <w:color w:val="auto"/>
        </w:rPr>
        <w:t>.4 报价函；</w:t>
      </w:r>
    </w:p>
    <w:p>
      <w:pPr>
        <w:spacing w:line="480" w:lineRule="exact"/>
        <w:rPr>
          <w:rFonts w:ascii="宋体"/>
          <w:color w:val="auto"/>
        </w:rPr>
      </w:pPr>
      <w:r>
        <w:rPr>
          <w:rFonts w:hint="eastAsia" w:ascii="宋体"/>
          <w:color w:val="auto"/>
          <w:lang w:val="en-US" w:eastAsia="zh-CN"/>
        </w:rPr>
        <w:t>11</w:t>
      </w:r>
      <w:r>
        <w:rPr>
          <w:rFonts w:hint="eastAsia" w:ascii="宋体"/>
          <w:color w:val="auto"/>
        </w:rPr>
        <w:t>.5 法定代表人授权书；</w:t>
      </w:r>
    </w:p>
    <w:p>
      <w:pPr>
        <w:spacing w:line="480" w:lineRule="exact"/>
        <w:rPr>
          <w:rFonts w:ascii="宋体"/>
          <w:color w:val="auto"/>
        </w:rPr>
      </w:pPr>
      <w:r>
        <w:rPr>
          <w:rFonts w:hint="eastAsia" w:ascii="宋体"/>
          <w:color w:val="auto"/>
          <w:lang w:val="en-US" w:eastAsia="zh-CN"/>
        </w:rPr>
        <w:t>11</w:t>
      </w:r>
      <w:r>
        <w:rPr>
          <w:rFonts w:hint="eastAsia" w:ascii="宋体"/>
          <w:color w:val="auto"/>
        </w:rPr>
        <w:t>.6</w:t>
      </w:r>
      <w:bookmarkEnd w:id="51"/>
      <w:r>
        <w:rPr>
          <w:rFonts w:hint="eastAsia" w:ascii="宋体"/>
          <w:color w:val="auto"/>
        </w:rPr>
        <w:t xml:space="preserve"> </w:t>
      </w:r>
      <w:r>
        <w:rPr>
          <w:rFonts w:ascii="宋体"/>
          <w:color w:val="auto"/>
        </w:rPr>
        <w:t>同意</w:t>
      </w:r>
      <w:r>
        <w:rPr>
          <w:rFonts w:hint="eastAsia" w:ascii="宋体"/>
          <w:color w:val="auto"/>
        </w:rPr>
        <w:t>磋商</w:t>
      </w:r>
      <w:r>
        <w:rPr>
          <w:rFonts w:ascii="宋体"/>
          <w:color w:val="auto"/>
        </w:rPr>
        <w:t>文件条款声明格式</w:t>
      </w:r>
    </w:p>
    <w:p>
      <w:pPr>
        <w:spacing w:line="480" w:lineRule="exact"/>
        <w:rPr>
          <w:rFonts w:ascii="宋体"/>
          <w:color w:val="auto"/>
        </w:rPr>
      </w:pPr>
    </w:p>
    <w:p>
      <w:pPr>
        <w:spacing w:line="480" w:lineRule="exact"/>
        <w:rPr>
          <w:rFonts w:ascii="宋体"/>
          <w:color w:val="auto"/>
        </w:rPr>
      </w:pPr>
    </w:p>
    <w:p>
      <w:pPr>
        <w:spacing w:before="120" w:line="360" w:lineRule="auto"/>
        <w:ind w:firstLine="4830" w:firstLineChars="2300"/>
        <w:rPr>
          <w:color w:val="auto"/>
        </w:rPr>
      </w:pPr>
    </w:p>
    <w:sectPr>
      <w:pgSz w:w="11906" w:h="16838"/>
      <w:pgMar w:top="1440" w:right="1418" w:bottom="1440" w:left="1418" w:header="851" w:footer="851"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Arial">
    <w:panose1 w:val="020B0604020202020204"/>
    <w:charset w:val="00"/>
    <w:family w:val="swiss"/>
    <w:pitch w:val="default"/>
    <w:sig w:usb0="E0002EFF" w:usb1="C0007843" w:usb2="00000009" w:usb3="00000000" w:csb0="400001FF" w:csb1="FFFF0000"/>
  </w:font>
  <w:font w:name="Verdana">
    <w:panose1 w:val="020B0604030504040204"/>
    <w:charset w:val="00"/>
    <w:family w:val="swiss"/>
    <w:pitch w:val="default"/>
    <w:sig w:usb0="A10006FF" w:usb1="4000205B" w:usb2="00000010" w:usb3="00000000" w:csb0="2000019F" w:csb1="00000000"/>
  </w:font>
  <w:font w:name="Arial Unicode MS">
    <w:altName w:val="Microsoft Sans Serif"/>
    <w:panose1 w:val="020B0604020202020204"/>
    <w:charset w:val="00"/>
    <w:family w:val="roman"/>
    <w:pitch w:val="default"/>
    <w:sig w:usb0="00000000" w:usb1="00000000" w:usb2="00000000" w:usb3="00000000" w:csb0="00000001" w:csb1="00000000"/>
  </w:font>
  <w:font w:name="Courier New">
    <w:panose1 w:val="02070309020205020404"/>
    <w:charset w:val="00"/>
    <w:family w:val="modern"/>
    <w:pitch w:val="default"/>
    <w:sig w:usb0="E0002E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华文新魏">
    <w:altName w:val="宋体"/>
    <w:panose1 w:val="0201080004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icrosoft Sans Serif">
    <w:panose1 w:val="020B0604020202020204"/>
    <w:charset w:val="00"/>
    <w:family w:val="auto"/>
    <w:pitch w:val="default"/>
    <w:sig w:usb0="E5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Calibri">
    <w:panose1 w:val="020F0502020204030204"/>
    <w:charset w:val="86"/>
    <w:family w:val="swiss"/>
    <w:pitch w:val="default"/>
    <w:sig w:usb0="E0002AFF" w:usb1="C000247B" w:usb2="00000009" w:usb3="00000000" w:csb0="200001FF" w:csb1="00000000"/>
  </w:font>
  <w:font w:name="新宋体">
    <w:panose1 w:val="02010609030101010101"/>
    <w:charset w:val="86"/>
    <w:family w:val="modern"/>
    <w:pitch w:val="default"/>
    <w:sig w:usb0="0000000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华文细黑">
    <w:altName w:val="宋体"/>
    <w:panose1 w:val="02010600040101010101"/>
    <w:charset w:val="86"/>
    <w:family w:val="auto"/>
    <w:pitch w:val="default"/>
    <w:sig w:usb0="00000000" w:usb1="00000000" w:usb2="00000000" w:usb3="00000000" w:csb0="0004009F" w:csb1="DFD70000"/>
  </w:font>
  <w:font w:name="Wingdings 2">
    <w:altName w:val="Wingdings"/>
    <w:panose1 w:val="05020102010507070707"/>
    <w:charset w:val="00"/>
    <w:family w:val="auto"/>
    <w:pitch w:val="default"/>
    <w:sig w:usb0="00000000" w:usb1="00000000" w:usb2="00000000" w:usb3="00000000" w:csb0="80000000" w:csb1="00000000"/>
  </w:font>
  <w:font w:name="Arial Narrow">
    <w:altName w:val="Arial"/>
    <w:panose1 w:val="020B0606020202030204"/>
    <w:charset w:val="00"/>
    <w:family w:val="auto"/>
    <w:pitch w:val="default"/>
    <w:sig w:usb0="00000000" w:usb1="00000000" w:usb2="00000000" w:usb3="00000000" w:csb0="2000009F" w:csb1="DFD70000"/>
  </w:font>
  <w:font w:name="Bookshelf Symbol 7">
    <w:altName w:val="Symbol"/>
    <w:panose1 w:val="05010101010101010101"/>
    <w:charset w:val="00"/>
    <w:family w:val="auto"/>
    <w:pitch w:val="default"/>
    <w:sig w:usb0="00000000" w:usb1="00000000" w:usb2="00000000" w:usb3="00000000" w:csb0="80000000" w:csb1="00000000"/>
  </w:font>
  <w:font w:name="MS Reference Sans Serif">
    <w:altName w:val="Verdana"/>
    <w:panose1 w:val="020B0604030504040204"/>
    <w:charset w:val="00"/>
    <w:family w:val="auto"/>
    <w:pitch w:val="default"/>
    <w:sig w:usb0="00000000" w:usb1="00000000" w:usb2="00000000" w:usb3="00000000" w:csb0="2000019F" w:csb1="00000000"/>
  </w:font>
  <w:font w:name="Arial Narrow">
    <w:altName w:val="Arial"/>
    <w:panose1 w:val="020B0606020202030204"/>
    <w:charset w:val="01"/>
    <w:family w:val="swiss"/>
    <w:pitch w:val="default"/>
    <w:sig w:usb0="00000000" w:usb1="00000000" w:usb2="00000000" w:usb3="00000000" w:csb0="2000009F" w:csb1="DFD70000"/>
  </w:font>
  <w:font w:name="楷体_GB2312">
    <w:altName w:val="楷体"/>
    <w:panose1 w:val="02010609030101010101"/>
    <w:charset w:val="86"/>
    <w:family w:val="auto"/>
    <w:pitch w:val="default"/>
    <w:sig w:usb0="00000000" w:usb1="00000000" w:usb2="00000000" w:usb3="00000000" w:csb0="00040000" w:csb1="00000000"/>
  </w:font>
  <w:font w:name="Wingdings">
    <w:panose1 w:val="05000000000000000000"/>
    <w:charset w:val="00"/>
    <w:family w:val="auto"/>
    <w:pitch w:val="default"/>
    <w:sig w:usb0="00000000" w:usb1="00000000" w:usb2="00000000" w:usb3="00000000" w:csb0="80000000" w:csb1="00000000"/>
  </w:font>
  <w:font w:name="Symbol">
    <w:panose1 w:val="05050102010706020507"/>
    <w:charset w:val="00"/>
    <w:family w:val="auto"/>
    <w:pitch w:val="default"/>
    <w:sig w:usb0="00000000" w:usb1="00000000" w:usb2="00000000" w:usb3="00000000" w:csb0="80000000" w:csb1="00000000"/>
  </w:font>
  <w:font w:name="Wingdings 2">
    <w:altName w:val="Wingdings"/>
    <w:panose1 w:val="05020102010507070707"/>
    <w:charset w:val="02"/>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ˎ̥">
    <w:altName w:val="Times New Roman"/>
    <w:panose1 w:val="00000000000000000000"/>
    <w:charset w:val="00"/>
    <w:family w:val="roman"/>
    <w:pitch w:val="default"/>
    <w:sig w:usb0="00000000" w:usb1="00000000" w:usb2="00000000" w:usb3="00000000" w:csb0="00040001" w:csb1="00000000"/>
  </w:font>
  <w:font w:name="方正大黑简体">
    <w:altName w:val="微软雅黑"/>
    <w:panose1 w:val="00000000000000000000"/>
    <w:charset w:val="86"/>
    <w:family w:val="script"/>
    <w:pitch w:val="default"/>
    <w:sig w:usb0="00000000" w:usb1="00000000" w:usb2="00000010" w:usb3="00000000" w:csb0="00040000" w:csb1="00000000"/>
  </w:font>
  <w:font w:name="Book Antiqua">
    <w:altName w:val="Segoe Print"/>
    <w:panose1 w:val="02040602050305030304"/>
    <w:charset w:val="00"/>
    <w:family w:val="roman"/>
    <w:pitch w:val="default"/>
    <w:sig w:usb0="00000000" w:usb1="00000000" w:usb2="00000000" w:usb3="00000000" w:csb0="2000009F" w:csb1="DFD7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瀹?浣? color : black">
    <w:altName w:val="Segoe Print"/>
    <w:panose1 w:val="00000000000000000000"/>
    <w:charset w:val="00"/>
    <w:family w:val="auto"/>
    <w:pitch w:val="default"/>
    <w:sig w:usb0="00000000" w:usb1="00000000" w:usb2="00000000" w:usb3="00000000" w:csb0="00040001" w:csb1="00000000"/>
  </w:font>
  <w:font w:name="BatangChe">
    <w:altName w:val="Malgun Gothic"/>
    <w:panose1 w:val="02030609000101010101"/>
    <w:charset w:val="81"/>
    <w:family w:val="modern"/>
    <w:pitch w:val="default"/>
    <w:sig w:usb0="00000000" w:usb1="00000000" w:usb2="00000030" w:usb3="00000000" w:csb0="0008009F" w:csb1="00000000"/>
  </w:font>
  <w:font w:name="Malgun Gothic">
    <w:panose1 w:val="020B0503020000020004"/>
    <w:charset w:val="81"/>
    <w:family w:val="auto"/>
    <w:pitch w:val="default"/>
    <w:sig w:usb0="9000002F" w:usb1="29D77CFB" w:usb2="00000012" w:usb3="00000000" w:csb0="00080001" w:csb1="00000000"/>
  </w:font>
  <w:font w:name="Calibri Light">
    <w:panose1 w:val="020F0302020204030204"/>
    <w:charset w:val="00"/>
    <w:family w:val="roman"/>
    <w:pitch w:val="default"/>
    <w:sig w:usb0="E0002AFF" w:usb1="C000247B" w:usb2="00000009" w:usb3="00000000" w:csb0="200001FF" w:csb1="00000000"/>
  </w:font>
  <w:font w:name="IAMBL L+ Futura">
    <w:altName w:val="微软雅黑"/>
    <w:panose1 w:val="00000000000000000000"/>
    <w:charset w:val="86"/>
    <w:family w:val="swiss"/>
    <w:pitch w:val="default"/>
    <w:sig w:usb0="00000000" w:usb1="00000000" w:usb2="00000010" w:usb3="00000000" w:csb0="00040000" w:csb1="00000000"/>
  </w:font>
  <w:font w:name="Century Schoolbook">
    <w:altName w:val="Segoe Print"/>
    <w:panose1 w:val="02040604050505020304"/>
    <w:charset w:val="00"/>
    <w:family w:val="roman"/>
    <w:pitch w:val="default"/>
    <w:sig w:usb0="00000000" w:usb1="00000000" w:usb2="00000000" w:usb3="00000000" w:csb0="0000009F" w:csb1="00000000"/>
  </w:font>
  <w:font w:name="Tms Rmn">
    <w:altName w:val="Segoe Print"/>
    <w:panose1 w:val="02020603040505020304"/>
    <w:charset w:val="00"/>
    <w:family w:val="roman"/>
    <w:pitch w:val="default"/>
    <w:sig w:usb0="00000000" w:usb1="00000000" w:usb2="00000000" w:usb3="00000000" w:csb0="00000001" w:csb1="00000000"/>
  </w:font>
  <w:font w:name="CG Times">
    <w:altName w:val="Segoe Print"/>
    <w:panose1 w:val="00000000000000000000"/>
    <w:charset w:val="00"/>
    <w:family w:val="roman"/>
    <w:pitch w:val="default"/>
    <w:sig w:usb0="00000000" w:usb1="00000000" w:usb2="00000000" w:usb3="00000000" w:csb0="00000093" w:csb1="00000000"/>
  </w:font>
  <w:font w:name="Futura Bk">
    <w:altName w:val="Segoe UI"/>
    <w:panose1 w:val="00000000000000000000"/>
    <w:charset w:val="00"/>
    <w:family w:val="swiss"/>
    <w:pitch w:val="default"/>
    <w:sig w:usb0="00000000" w:usb1="00000000" w:usb2="00000000" w:usb3="00000000" w:csb0="0000009F" w:csb1="00000000"/>
  </w:font>
  <w:font w:name="2OcuAe">
    <w:altName w:val="MingLiU-ExtB"/>
    <w:panose1 w:val="00000000000000000000"/>
    <w:charset w:val="88"/>
    <w:family w:val="modern"/>
    <w:pitch w:val="default"/>
    <w:sig w:usb0="00000000" w:usb1="00000000" w:usb2="00000010" w:usb3="00000000" w:csb0="00100000" w:csb1="00000000"/>
  </w:font>
  <w:font w:name="Times">
    <w:altName w:val="Times New Roman"/>
    <w:panose1 w:val="02020603050405020304"/>
    <w:charset w:val="00"/>
    <w:family w:val="roman"/>
    <w:pitch w:val="default"/>
    <w:sig w:usb0="00000000" w:usb1="00000000" w:usb2="00000009" w:usb3="00000000" w:csb0="000001FF" w:csb1="00000000"/>
  </w:font>
  <w:font w:name="华文中宋">
    <w:altName w:val="宋体"/>
    <w:panose1 w:val="02010600040101010101"/>
    <w:charset w:val="86"/>
    <w:family w:val="auto"/>
    <w:pitch w:val="default"/>
    <w:sig w:usb0="00000000" w:usb1="00000000" w:usb2="00000010" w:usb3="00000000" w:csb0="0004009F" w:csb1="00000000"/>
  </w:font>
  <w:font w:name="昆仑仿宋">
    <w:altName w:val="黑体"/>
    <w:panose1 w:val="00000000000000000000"/>
    <w:charset w:val="86"/>
    <w:family w:val="modern"/>
    <w:pitch w:val="default"/>
    <w:sig w:usb0="00000000" w:usb1="00000000" w:usb2="00000010" w:usb3="00000000" w:csb0="00040000" w:csb1="00000000"/>
  </w:font>
  <w:font w:name="MS Sans Serif">
    <w:altName w:val="Arial"/>
    <w:panose1 w:val="00000000000000000000"/>
    <w:charset w:val="00"/>
    <w:family w:val="swiss"/>
    <w:pitch w:val="default"/>
    <w:sig w:usb0="00000000" w:usb1="00000000" w:usb2="00000000" w:usb3="00000000" w:csb0="00000001" w:csb1="00000000"/>
  </w:font>
  <w:font w:name="Brougham (12)">
    <w:altName w:val="Courier New"/>
    <w:panose1 w:val="00000000000000000000"/>
    <w:charset w:val="00"/>
    <w:family w:val="modern"/>
    <w:pitch w:val="default"/>
    <w:sig w:usb0="00000000" w:usb1="00000000" w:usb2="00000000" w:usb3="00000000" w:csb0="00000001" w:csb1="00000000"/>
  </w:font>
  <w:font w:name="汉鼎简中黑">
    <w:altName w:val="宋体"/>
    <w:panose1 w:val="00000000000000000000"/>
    <w:charset w:val="86"/>
    <w:family w:val="modern"/>
    <w:pitch w:val="default"/>
    <w:sig w:usb0="00000000" w:usb1="00000000" w:usb2="00000010" w:usb3="00000000" w:csb0="00040000" w:csb1="00000000"/>
  </w:font>
  <w:font w:name="_GB2312">
    <w:altName w:val="Times New Roman"/>
    <w:panose1 w:val="00000000000000000000"/>
    <w:charset w:val="00"/>
    <w:family w:val="roman"/>
    <w:pitch w:val="default"/>
    <w:sig w:usb0="00000000" w:usb1="00000000" w:usb2="00000000" w:usb3="00000000" w:csb0="00040001" w:csb1="00000000"/>
  </w:font>
  <w:font w:name="Courier">
    <w:altName w:val="Courier New"/>
    <w:panose1 w:val="02070409020205020404"/>
    <w:charset w:val="00"/>
    <w:family w:val="modern"/>
    <w:pitch w:val="default"/>
    <w:sig w:usb0="00000000" w:usb1="00000000" w:usb2="00000000" w:usb3="00000000" w:csb0="00000001" w:csb1="00000000"/>
  </w:font>
  <w:font w:name="方正仿宋简体">
    <w:altName w:val="微软雅黑"/>
    <w:panose1 w:val="00000000000000000000"/>
    <w:charset w:val="86"/>
    <w:family w:val="auto"/>
    <w:pitch w:val="default"/>
    <w:sig w:usb0="00000000" w:usb1="00000000" w:usb2="00000010" w:usb3="00000000" w:csb0="00040000" w:csb1="00000000"/>
  </w:font>
  <w:font w:name="Footlight MT Light">
    <w:altName w:val="Segoe Print"/>
    <w:panose1 w:val="0204060206030A020304"/>
    <w:charset w:val="00"/>
    <w:family w:val="roman"/>
    <w:pitch w:val="default"/>
    <w:sig w:usb0="00000000" w:usb1="00000000" w:usb2="00000000" w:usb3="00000000" w:csb0="00000001" w:csb1="00000000"/>
  </w:font>
  <w:font w:name="汉仪大宋简">
    <w:altName w:val="宋体"/>
    <w:panose1 w:val="00000000000000000000"/>
    <w:charset w:val="86"/>
    <w:family w:val="modern"/>
    <w:pitch w:val="default"/>
    <w:sig w:usb0="00000000" w:usb1="00000000" w:usb2="00000012" w:usb3="00000000" w:csb0="00040000" w:csb1="00000000"/>
  </w:font>
  <w:font w:name="长城仿宋">
    <w:altName w:val="黑体"/>
    <w:panose1 w:val="00000000000000000000"/>
    <w:charset w:val="86"/>
    <w:family w:val="modern"/>
    <w:pitch w:val="default"/>
    <w:sig w:usb0="00000000" w:usb1="00000000" w:usb2="00000010" w:usb3="00000000" w:csb0="00040000" w:csb1="00000000"/>
  </w:font>
  <w:font w:name="'宋体">
    <w:altName w:val="宋体"/>
    <w:panose1 w:val="00000000000000000000"/>
    <w:charset w:val="86"/>
    <w:family w:val="auto"/>
    <w:pitch w:val="default"/>
    <w:sig w:usb0="00000000" w:usb1="00000000" w:usb2="00000010" w:usb3="00000000" w:csb0="00040000" w:csb1="00000000"/>
  </w:font>
  <w:font w:name="汉仪魏碑简">
    <w:altName w:val="宋体"/>
    <w:panose1 w:val="00000000000000000000"/>
    <w:charset w:val="86"/>
    <w:family w:val="modern"/>
    <w:pitch w:val="default"/>
    <w:sig w:usb0="00000000" w:usb1="00000000" w:usb2="00000012" w:usb3="00000000" w:csb0="00040000" w:csb1="00000000"/>
  </w:font>
  <w:font w:name="MingLiU">
    <w:altName w:val="PMingLiU-ExtB"/>
    <w:panose1 w:val="02020509000000000000"/>
    <w:charset w:val="88"/>
    <w:family w:val="modern"/>
    <w:pitch w:val="default"/>
    <w:sig w:usb0="00000000" w:usb1="00000000" w:usb2="00000016" w:usb3="00000000" w:csb0="00100001" w:csb1="00000000"/>
  </w:font>
  <w:font w:name="汉仪中等线简">
    <w:altName w:val="宋体"/>
    <w:panose1 w:val="00000000000000000000"/>
    <w:charset w:val="86"/>
    <w:family w:val="modern"/>
    <w:pitch w:val="default"/>
    <w:sig w:usb0="00000000" w:usb1="00000000" w:usb2="00000012" w:usb3="00000000" w:csb0="00040000" w:csb1="00000000"/>
  </w:font>
  <w:font w:name="方正楷体简体">
    <w:altName w:val="宋体"/>
    <w:panose1 w:val="00000000000000000000"/>
    <w:charset w:val="86"/>
    <w:family w:val="auto"/>
    <w:pitch w:val="default"/>
    <w:sig w:usb0="00000000" w:usb1="00000000" w:usb2="00000010" w:usb3="00000000" w:csb0="00040000" w:csb1="00000000"/>
  </w:font>
  <w:font w:name="Arial Black">
    <w:panose1 w:val="020B0A04020102020204"/>
    <w:charset w:val="00"/>
    <w:family w:val="swiss"/>
    <w:pitch w:val="default"/>
    <w:sig w:usb0="A00002AF" w:usb1="400078FB" w:usb2="00000000" w:usb3="00000000" w:csb0="6000009F" w:csb1="DFD70000"/>
  </w:font>
  <w:font w:name="_x000B__x000C_">
    <w:altName w:val="Times New Roman"/>
    <w:panose1 w:val="00000000000000000000"/>
    <w:charset w:val="00"/>
    <w:family w:val="roman"/>
    <w:pitch w:val="default"/>
    <w:sig w:usb0="00000000" w:usb1="00000000" w:usb2="00000000" w:usb3="00000000" w:csb0="00040001" w:csb1="00000000"/>
  </w:font>
  <w:font w:name="Microsoft YaHei UI">
    <w:panose1 w:val="020B0503020204020204"/>
    <w:charset w:val="86"/>
    <w:family w:val="swiss"/>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 w:name="MingLiU-ExtB">
    <w:panose1 w:val="02020500000000000000"/>
    <w:charset w:val="88"/>
    <w:family w:val="auto"/>
    <w:pitch w:val="default"/>
    <w:sig w:usb0="8000002F" w:usb1="02000008" w:usb2="00000000"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altName w:val="仿宋"/>
    <w:panose1 w:val="00000000000000000000"/>
    <w:charset w:val="00"/>
    <w:family w:val="auto"/>
    <w:pitch w:val="default"/>
    <w:sig w:usb0="00000000" w:usb1="00000000" w:usb2="00000000" w:usb3="00000000" w:csb0="00000000" w:csb1="00000000"/>
  </w:font>
  <w:font w:name="MS Mincho">
    <w:altName w:val="MS UI Gothic"/>
    <w:panose1 w:val="02020609040205080304"/>
    <w:charset w:val="80"/>
    <w:family w:val="modern"/>
    <w:pitch w:val="default"/>
    <w:sig w:usb0="00000000" w:usb1="00000000" w:usb2="00000012" w:usb3="00000000" w:csb0="4002009F" w:csb1="DFD70000"/>
  </w:font>
  <w:font w:name="MingLiU_HKSCS">
    <w:altName w:val="PMingLiU-ExtB"/>
    <w:panose1 w:val="02020500000000000000"/>
    <w:charset w:val="88"/>
    <w:family w:val="roman"/>
    <w:pitch w:val="default"/>
    <w:sig w:usb0="00000000" w:usb1="00000000" w:usb2="00000016" w:usb3="00000000" w:csb0="00100001" w:csb1="00000000"/>
  </w:font>
  <w:font w:name="MS UI Gothic">
    <w:panose1 w:val="020B0600070205080204"/>
    <w:charset w:val="80"/>
    <w:family w:val="auto"/>
    <w:pitch w:val="default"/>
    <w:sig w:usb0="E00002FF" w:usb1="6AC7FDFB" w:usb2="08000012" w:usb3="00000000" w:csb0="4002009F" w:csb1="DFD70000"/>
  </w:font>
  <w:font w:name="Yu Gothic UI">
    <w:panose1 w:val="020B0500000000000000"/>
    <w:charset w:val="80"/>
    <w:family w:val="auto"/>
    <w:pitch w:val="default"/>
    <w:sig w:usb0="E00002FF" w:usb1="2AC7FDFF" w:usb2="00000016" w:usb3="00000000" w:csb0="2002009F" w:csb1="00000000"/>
  </w:font>
  <w:font w:name="MS PGothic">
    <w:panose1 w:val="020B0600070205080204"/>
    <w:charset w:val="80"/>
    <w:family w:val="auto"/>
    <w:pitch w:val="default"/>
    <w:sig w:usb0="E00002FF" w:usb1="6AC7FDFB" w:usb2="08000012" w:usb3="00000000" w:csb0="4002009F" w:csb1="DFD70000"/>
  </w:font>
  <w:font w:name="??">
    <w:altName w:val="Times New Roman"/>
    <w:panose1 w:val="020B0604020202020204"/>
    <w:charset w:val="00"/>
    <w:family w:val="roman"/>
    <w:pitch w:val="default"/>
    <w:sig w:usb0="00000000" w:usb1="00000000" w:usb2="00000000" w:usb3="00000000" w:csb0="00000001" w:csb1="00000000"/>
  </w:font>
  <w:font w:name="ӗԲ">
    <w:altName w:val="Times New Roman"/>
    <w:panose1 w:val="00000000000000000000"/>
    <w:charset w:val="00"/>
    <w:family w:val="roman"/>
    <w:pitch w:val="default"/>
    <w:sig w:usb0="00000000" w:usb1="00000000" w:usb2="00000000" w:usb3="00000000" w:csb0="00040001" w:csb1="00000000"/>
  </w:font>
  <w:font w:name="Dotum">
    <w:altName w:val="Malgun Gothic"/>
    <w:panose1 w:val="020B0600000101010101"/>
    <w:charset w:val="81"/>
    <w:family w:val="swiss"/>
    <w:pitch w:val="default"/>
    <w:sig w:usb0="00000000" w:usb1="00000000" w:usb2="00000030" w:usb3="00000000" w:csb0="4008009F" w:csb1="DFD70000"/>
  </w:font>
  <w:font w:name="inherit">
    <w:altName w:val="微软雅黑"/>
    <w:panose1 w:val="00000000000000000000"/>
    <w:charset w:val="01"/>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1-</w:t>
    </w:r>
    <w:r>
      <w:rPr>
        <w:rFonts w:ascii="宋体" w:hAnsi="宋体"/>
      </w:rPr>
      <w:fldChar w:fldCharType="begin"/>
    </w:r>
    <w:r>
      <w:rPr>
        <w:rStyle w:val="26"/>
        <w:rFonts w:ascii="宋体" w:hAnsi="宋体"/>
      </w:rPr>
      <w:instrText xml:space="preserve"> PAGE </w:instrText>
    </w:r>
    <w:r>
      <w:rPr>
        <w:rFonts w:ascii="宋体" w:hAnsi="宋体"/>
      </w:rPr>
      <w:fldChar w:fldCharType="separate"/>
    </w:r>
    <w:r>
      <w:rPr>
        <w:rStyle w:val="26"/>
        <w:rFonts w:ascii="宋体" w:hAnsi="宋体"/>
      </w:rPr>
      <w:t>4</w:t>
    </w:r>
    <w:r>
      <w:rPr>
        <w:rFonts w:ascii="宋体" w:hAnsi="宋体"/>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2-</w:t>
    </w:r>
    <w:r>
      <w:rPr>
        <w:rFonts w:ascii="宋体" w:hAnsi="宋体"/>
      </w:rPr>
      <w:fldChar w:fldCharType="begin"/>
    </w:r>
    <w:r>
      <w:rPr>
        <w:rStyle w:val="26"/>
        <w:rFonts w:ascii="宋体" w:hAnsi="宋体"/>
      </w:rPr>
      <w:instrText xml:space="preserve"> PAGE </w:instrText>
    </w:r>
    <w:r>
      <w:rPr>
        <w:rFonts w:ascii="宋体" w:hAnsi="宋体"/>
      </w:rPr>
      <w:fldChar w:fldCharType="separate"/>
    </w:r>
    <w:r>
      <w:rPr>
        <w:rStyle w:val="26"/>
        <w:rFonts w:ascii="宋体" w:hAnsi="宋体"/>
      </w:rPr>
      <w:t>14</w:t>
    </w:r>
    <w:r>
      <w:rPr>
        <w:rFonts w:ascii="宋体" w:hAnsi="宋体"/>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2-</w:t>
    </w:r>
    <w:r>
      <w:rPr>
        <w:rFonts w:ascii="宋体" w:hAnsi="宋体"/>
      </w:rPr>
      <w:fldChar w:fldCharType="begin"/>
    </w:r>
    <w:r>
      <w:rPr>
        <w:rStyle w:val="26"/>
        <w:rFonts w:ascii="宋体" w:hAnsi="宋体"/>
      </w:rPr>
      <w:instrText xml:space="preserve"> PAGE </w:instrText>
    </w:r>
    <w:r>
      <w:rPr>
        <w:rFonts w:ascii="宋体" w:hAnsi="宋体"/>
      </w:rPr>
      <w:fldChar w:fldCharType="separate"/>
    </w:r>
    <w:r>
      <w:rPr>
        <w:rStyle w:val="26"/>
        <w:rFonts w:ascii="宋体" w:hAnsi="宋体"/>
      </w:rPr>
      <w:t>18</w:t>
    </w:r>
    <w:r>
      <w:rPr>
        <w:rFonts w:ascii="宋体" w:hAnsi="宋体"/>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hint="eastAsia"/>
      </w:rPr>
    </w:pPr>
    <w:r>
      <w:rPr>
        <w:rFonts w:hint="eastAsia" w:ascii="宋体"/>
      </w:rPr>
      <w:t>广东晓君招标采购代理有限公司</w:t>
    </w:r>
    <w:r>
      <w:rPr>
        <w:rFonts w:hint="eastAsia"/>
      </w:rPr>
      <w:t xml:space="preserve">                                                     </w:t>
    </w:r>
    <w:r>
      <w:rPr>
        <w:rFonts w:hint="eastAsia"/>
        <w:sz w:val="21"/>
        <w:szCs w:val="21"/>
      </w:rPr>
      <w:t xml:space="preserve"> </w:t>
    </w:r>
    <w:r>
      <w:rPr>
        <w:rFonts w:hint="eastAsia"/>
        <w:sz w:val="21"/>
        <w:szCs w:val="21"/>
        <w:lang w:val="en-US" w:eastAsia="zh-CN"/>
      </w:rPr>
      <w:t>3</w:t>
    </w:r>
    <w:r>
      <w:rPr>
        <w:rFonts w:hint="eastAsia"/>
        <w:sz w:val="21"/>
        <w:szCs w:val="21"/>
      </w:rPr>
      <w:t>-</w:t>
    </w:r>
    <w:r>
      <w:rPr>
        <w:sz w:val="21"/>
        <w:szCs w:val="21"/>
      </w:rPr>
      <w:fldChar w:fldCharType="begin"/>
    </w:r>
    <w:r>
      <w:rPr>
        <w:rStyle w:val="26"/>
        <w:sz w:val="21"/>
        <w:szCs w:val="21"/>
      </w:rPr>
      <w:instrText xml:space="preserve"> PAGE </w:instrText>
    </w:r>
    <w:r>
      <w:rPr>
        <w:sz w:val="21"/>
        <w:szCs w:val="21"/>
      </w:rPr>
      <w:fldChar w:fldCharType="separate"/>
    </w:r>
    <w:r>
      <w:rPr>
        <w:rStyle w:val="26"/>
        <w:sz w:val="21"/>
        <w:szCs w:val="21"/>
      </w:rPr>
      <w:t>1</w:t>
    </w:r>
    <w:r>
      <w:rPr>
        <w:sz w:val="21"/>
        <w:szCs w:val="21"/>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w:t>
                </w:r>
                <w:r>
                  <w:rPr>
                    <w:rFonts w:hint="eastAsia" w:ascii="宋体" w:hAnsi="宋体"/>
                    <w:lang w:val="en-US" w:eastAsia="zh-CN"/>
                  </w:rPr>
                  <w:t>3</w:t>
                </w:r>
                <w:r>
                  <w:rPr>
                    <w:rFonts w:hint="eastAsia" w:ascii="宋体" w:hAnsi="宋体"/>
                  </w:rPr>
                  <w:t>-</w:t>
                </w:r>
                <w:r>
                  <w:rPr>
                    <w:rFonts w:ascii="宋体" w:hAnsi="宋体"/>
                  </w:rPr>
                  <w:fldChar w:fldCharType="begin"/>
                </w:r>
                <w:r>
                  <w:rPr>
                    <w:rStyle w:val="26"/>
                    <w:rFonts w:ascii="宋体" w:hAnsi="宋体"/>
                  </w:rPr>
                  <w:instrText xml:space="preserve"> PAGE </w:instrText>
                </w:r>
                <w:r>
                  <w:rPr>
                    <w:rFonts w:ascii="宋体" w:hAnsi="宋体"/>
                  </w:rPr>
                  <w:fldChar w:fldCharType="separate"/>
                </w:r>
                <w:r>
                  <w:rPr>
                    <w:rStyle w:val="26"/>
                    <w:rFonts w:ascii="宋体" w:hAnsi="宋体"/>
                  </w:rPr>
                  <w:t>28</w:t>
                </w:r>
                <w:r>
                  <w:rPr>
                    <w:rFonts w:ascii="宋体" w:hAnsi="宋体"/>
                  </w:rP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w:pict>
        <v:shape id="_x0000_s4100" o:spid="_x0000_s4100"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w:t>
                </w:r>
                <w:r>
                  <w:rPr>
                    <w:rFonts w:hint="eastAsia" w:ascii="宋体" w:hAnsi="宋体"/>
                    <w:lang w:val="en-US" w:eastAsia="zh-CN"/>
                  </w:rPr>
                  <w:t>4</w:t>
                </w:r>
                <w:r>
                  <w:rPr>
                    <w:rFonts w:hint="eastAsia" w:ascii="宋体" w:hAnsi="宋体"/>
                  </w:rPr>
                  <w:t>-</w:t>
                </w:r>
                <w:r>
                  <w:rPr>
                    <w:rFonts w:ascii="宋体" w:hAnsi="宋体"/>
                  </w:rPr>
                  <w:fldChar w:fldCharType="begin"/>
                </w:r>
                <w:r>
                  <w:rPr>
                    <w:rStyle w:val="26"/>
                    <w:rFonts w:ascii="宋体" w:hAnsi="宋体"/>
                  </w:rPr>
                  <w:instrText xml:space="preserve"> PAGE </w:instrText>
                </w:r>
                <w:r>
                  <w:rPr>
                    <w:rFonts w:ascii="宋体" w:hAnsi="宋体"/>
                  </w:rPr>
                  <w:fldChar w:fldCharType="separate"/>
                </w:r>
                <w:r>
                  <w:rPr>
                    <w:rStyle w:val="26"/>
                    <w:rFonts w:ascii="宋体" w:hAnsi="宋体"/>
                  </w:rPr>
                  <w:t>28</w:t>
                </w:r>
                <w:r>
                  <w:rPr>
                    <w:rFonts w:ascii="宋体" w:hAnsi="宋体"/>
                  </w:rP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w:pict>
        <v:shape id="_x0000_s4101" o:spid="_x0000_s4101"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w:t>
                </w:r>
                <w:r>
                  <w:rPr>
                    <w:rFonts w:hint="eastAsia" w:ascii="宋体" w:hAnsi="宋体"/>
                    <w:lang w:val="en-US" w:eastAsia="zh-CN"/>
                  </w:rPr>
                  <w:t>4</w:t>
                </w:r>
                <w:r>
                  <w:rPr>
                    <w:rFonts w:hint="eastAsia" w:ascii="宋体" w:hAnsi="宋体"/>
                  </w:rPr>
                  <w:t>-</w:t>
                </w:r>
                <w:r>
                  <w:rPr>
                    <w:rFonts w:ascii="宋体" w:hAnsi="宋体"/>
                  </w:rPr>
                  <w:fldChar w:fldCharType="begin"/>
                </w:r>
                <w:r>
                  <w:rPr>
                    <w:rStyle w:val="26"/>
                    <w:rFonts w:ascii="宋体" w:hAnsi="宋体"/>
                  </w:rPr>
                  <w:instrText xml:space="preserve"> PAGE </w:instrText>
                </w:r>
                <w:r>
                  <w:rPr>
                    <w:rFonts w:ascii="宋体" w:hAnsi="宋体"/>
                  </w:rPr>
                  <w:fldChar w:fldCharType="separate"/>
                </w:r>
                <w:r>
                  <w:rPr>
                    <w:rStyle w:val="26"/>
                    <w:rFonts w:ascii="宋体" w:hAnsi="宋体"/>
                  </w:rPr>
                  <w:t>28</w:t>
                </w:r>
                <w:r>
                  <w:rPr>
                    <w:rFonts w:ascii="宋体" w:hAnsi="宋体"/>
                  </w:rP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w:pict>
        <v:shape id="_x0000_s4098" o:spid="_x0000_s4098" o:spt="202" type="#_x0000_t202" style="position:absolute;left:0pt;margin-top:0pt;height:144pt;width:422.25pt;mso-position-horizontal:center;mso-position-horizontal-relative:margin;z-index:251657216;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5-</w:t>
                </w:r>
                <w:r>
                  <w:rPr>
                    <w:rFonts w:ascii="宋体" w:hAnsi="宋体"/>
                  </w:rPr>
                  <w:fldChar w:fldCharType="begin"/>
                </w:r>
                <w:r>
                  <w:rPr>
                    <w:rStyle w:val="26"/>
                    <w:rFonts w:ascii="宋体" w:hAnsi="宋体"/>
                  </w:rPr>
                  <w:instrText xml:space="preserve"> PAGE </w:instrText>
                </w:r>
                <w:r>
                  <w:rPr>
                    <w:rFonts w:ascii="宋体" w:hAnsi="宋体"/>
                  </w:rPr>
                  <w:fldChar w:fldCharType="separate"/>
                </w:r>
                <w:r>
                  <w:rPr>
                    <w:rStyle w:val="26"/>
                    <w:rFonts w:ascii="宋体" w:hAnsi="宋体"/>
                  </w:rPr>
                  <w:t>2</w:t>
                </w:r>
                <w:r>
                  <w:rPr>
                    <w:rFonts w:ascii="宋体" w:hAnsi="宋体"/>
                  </w:rPr>
                  <w:fldChar w:fldCharType="end"/>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pict>
        <v:shape id="_x0000_s4099" o:spid="_x0000_s4099"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pPr>
                <w:r>
                  <w:rPr>
                    <w:rFonts w:hint="eastAsia"/>
                  </w:rPr>
                  <w:t>广东晓君招标采购代理有限公司</w:t>
                </w:r>
                <w:r>
                  <w:rPr>
                    <w:rFonts w:hint="eastAsia" w:ascii="宋体" w:hAnsi="宋体"/>
                  </w:rPr>
                  <w:t xml:space="preserve">                                                                5-</w:t>
                </w:r>
                <w:r>
                  <w:rPr>
                    <w:rFonts w:ascii="宋体" w:hAnsi="宋体"/>
                  </w:rPr>
                  <w:fldChar w:fldCharType="begin"/>
                </w:r>
                <w:r>
                  <w:rPr>
                    <w:rStyle w:val="26"/>
                    <w:rFonts w:ascii="宋体" w:hAnsi="宋体"/>
                  </w:rPr>
                  <w:instrText xml:space="preserve"> PAGE </w:instrText>
                </w:r>
                <w:r>
                  <w:rPr>
                    <w:rFonts w:ascii="宋体" w:hAnsi="宋体"/>
                  </w:rPr>
                  <w:fldChar w:fldCharType="separate"/>
                </w:r>
                <w:r>
                  <w:rPr>
                    <w:rStyle w:val="26"/>
                    <w:rFonts w:ascii="宋体" w:hAnsi="宋体"/>
                  </w:rPr>
                  <w:t>18</w:t>
                </w:r>
                <w:r>
                  <w:rPr>
                    <w:rFonts w:ascii="宋体" w:hAnsi="宋体"/>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ascii="宋体" w:hAnsi="宋体"/>
      </w:rPr>
    </w:pPr>
    <w:r>
      <w:rPr>
        <w:rFonts w:hint="eastAsia" w:ascii="宋体" w:hAnsi="宋体" w:cs="Tahoma"/>
        <w:kern w:val="28"/>
        <w:lang w:eastAsia="zh-CN"/>
      </w:rPr>
      <w:t>郁南县财政局工程造价咨询定点服务项目</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ascii="宋体" w:hAnsi="宋体"/>
        <w:lang w:eastAsia="zh-CN"/>
      </w:rPr>
      <w:t>GDXJ18FCS1005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郁南县财政局工程造价咨询定点服务项目</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ascii="宋体" w:hAnsi="宋体"/>
        <w:lang w:eastAsia="zh-CN"/>
      </w:rPr>
      <w:t>GDXJ18FCS1005</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ascii="宋体" w:hAnsi="宋体"/>
      </w:rPr>
    </w:pPr>
    <w:r>
      <w:rPr>
        <w:rFonts w:hint="eastAsia" w:ascii="宋体" w:hAnsi="宋体" w:cs="Tahoma"/>
        <w:kern w:val="28"/>
        <w:lang w:eastAsia="zh-CN"/>
      </w:rPr>
      <w:t>郁南县财政局工程造价咨询定点服务项目</w:t>
    </w:r>
    <w:r>
      <w:rPr>
        <w:rFonts w:hint="eastAsia" w:ascii="宋体" w:hAnsi="宋体"/>
        <w:lang w:val="en-US" w:eastAsia="zh-CN"/>
      </w:rPr>
      <w:t xml:space="preserve">                                                                                                      </w:t>
    </w:r>
    <w:r>
      <w:rPr>
        <w:rFonts w:hint="eastAsia" w:ascii="宋体" w:hAnsi="宋体"/>
        <w:lang w:eastAsia="zh-CN"/>
      </w:rPr>
      <w:t>GDXJ18FCS1005</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hint="eastAsia"/>
        <w:sz w:val="18"/>
        <w:szCs w:val="18"/>
      </w:rPr>
    </w:pPr>
    <w:r>
      <w:rPr>
        <w:rFonts w:hint="eastAsia" w:ascii="Tahoma" w:hAnsi="Tahoma" w:cs="Tahoma"/>
        <w:sz w:val="18"/>
        <w:szCs w:val="18"/>
        <w:lang w:eastAsia="zh-CN"/>
      </w:rPr>
      <w:t>郁南县财政局工程造价咨询定点服务项目</w:t>
    </w:r>
    <w:r>
      <w:rPr>
        <w:rFonts w:hint="eastAsia" w:ascii="Tahoma" w:hAnsi="Tahoma" w:cs="Tahoma"/>
        <w:sz w:val="21"/>
        <w:szCs w:val="21"/>
        <w:lang w:val="en-US" w:eastAsia="zh-CN"/>
      </w:rPr>
      <w:t xml:space="preserve">  </w:t>
    </w:r>
    <w:r>
      <w:rPr>
        <w:rFonts w:hint="eastAsia" w:ascii="宋体" w:hAnsi="宋体"/>
        <w:sz w:val="21"/>
        <w:szCs w:val="21"/>
      </w:rPr>
      <w:t xml:space="preserve">               </w:t>
    </w:r>
    <w:r>
      <w:rPr>
        <w:rFonts w:hint="eastAsia" w:ascii="宋体" w:hAnsi="宋体"/>
        <w:sz w:val="21"/>
        <w:szCs w:val="21"/>
        <w:lang w:val="en-US" w:eastAsia="zh-CN"/>
      </w:rPr>
      <w:t xml:space="preserve">                   </w:t>
    </w:r>
    <w:r>
      <w:rPr>
        <w:rFonts w:hint="eastAsia" w:ascii="宋体" w:hAnsi="宋体"/>
        <w:sz w:val="18"/>
        <w:szCs w:val="18"/>
        <w:lang w:eastAsia="zh-CN"/>
      </w:rPr>
      <w:t>GDXJ18FCS1005</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郁南县财政局工程造价咨询定点服务项目</w:t>
    </w:r>
    <w:r>
      <w:rPr>
        <w:rFonts w:hint="eastAsia" w:ascii="宋体" w:hAnsi="宋体" w:cs="Tahoma"/>
        <w:kern w:val="28"/>
        <w:lang w:val="en-US" w:eastAsia="zh-CN"/>
      </w:rPr>
      <w:t xml:space="preserve">       </w:t>
    </w:r>
    <w:r>
      <w:rPr>
        <w:rFonts w:hint="eastAsia" w:ascii="宋体" w:hAnsi="宋体"/>
      </w:rPr>
      <w:t xml:space="preserve">      </w:t>
    </w:r>
    <w:r>
      <w:rPr>
        <w:rFonts w:hint="eastAsia"/>
        <w:szCs w:val="21"/>
        <w:lang w:eastAsia="zh-CN"/>
      </w:rPr>
      <w:t>GDXJ18FCS1005</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郁南县财政局工程造价咨询定点服务项目</w:t>
    </w:r>
    <w:r>
      <w:rPr>
        <w:rFonts w:hint="eastAsia" w:ascii="宋体" w:hAnsi="宋体" w:cs="Tahoma"/>
        <w:kern w:val="28"/>
        <w:lang w:val="en-US" w:eastAsia="zh-CN"/>
      </w:rPr>
      <w:t xml:space="preserve"> </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szCs w:val="21"/>
        <w:lang w:eastAsia="zh-CN"/>
      </w:rPr>
      <w:t>GDXJ18FCS1005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19CF589C"/>
    <w:multiLevelType w:val="multilevel"/>
    <w:tmpl w:val="19CF589C"/>
    <w:lvl w:ilvl="0" w:tentative="0">
      <w:start w:val="1"/>
      <w:numFmt w:val="decimal"/>
      <w:lvlText w:val="%1."/>
      <w:lvlJc w:val="left"/>
      <w:pPr>
        <w:tabs>
          <w:tab w:val="left" w:pos="420"/>
        </w:tabs>
        <w:ind w:left="420" w:hanging="420"/>
      </w:pPr>
    </w:lvl>
    <w:lvl w:ilvl="1" w:tentative="0">
      <w:start w:val="1"/>
      <w:numFmt w:val="decimal"/>
      <w:lvlText w:val="2.%2"/>
      <w:lvlJc w:val="left"/>
      <w:pPr>
        <w:tabs>
          <w:tab w:val="left" w:pos="239"/>
        </w:tabs>
        <w:ind w:left="749" w:hanging="510"/>
      </w:pPr>
      <w:rPr>
        <w:rFonts w:hint="default"/>
      </w:rPr>
    </w:lvl>
    <w:lvl w:ilvl="2" w:tentative="0">
      <w:start w:val="1"/>
      <w:numFmt w:val="lowerRoman"/>
      <w:lvlText w:val="%3."/>
      <w:lvlJc w:val="right"/>
      <w:pPr>
        <w:tabs>
          <w:tab w:val="left" w:pos="1079"/>
        </w:tabs>
        <w:ind w:left="1079" w:hanging="420"/>
      </w:pPr>
    </w:lvl>
    <w:lvl w:ilvl="3" w:tentative="0">
      <w:start w:val="1"/>
      <w:numFmt w:val="decimal"/>
      <w:lvlText w:val="%4."/>
      <w:lvlJc w:val="left"/>
      <w:pPr>
        <w:tabs>
          <w:tab w:val="left" w:pos="1499"/>
        </w:tabs>
        <w:ind w:left="1499" w:hanging="420"/>
      </w:pPr>
    </w:lvl>
    <w:lvl w:ilvl="4" w:tentative="0">
      <w:start w:val="1"/>
      <w:numFmt w:val="lowerLetter"/>
      <w:lvlText w:val="%5)"/>
      <w:lvlJc w:val="left"/>
      <w:pPr>
        <w:tabs>
          <w:tab w:val="left" w:pos="1919"/>
        </w:tabs>
        <w:ind w:left="1919" w:hanging="420"/>
      </w:pPr>
    </w:lvl>
    <w:lvl w:ilvl="5" w:tentative="0">
      <w:start w:val="1"/>
      <w:numFmt w:val="lowerRoman"/>
      <w:lvlText w:val="%6."/>
      <w:lvlJc w:val="right"/>
      <w:pPr>
        <w:tabs>
          <w:tab w:val="left" w:pos="2339"/>
        </w:tabs>
        <w:ind w:left="2339" w:hanging="420"/>
      </w:pPr>
    </w:lvl>
    <w:lvl w:ilvl="6" w:tentative="0">
      <w:start w:val="1"/>
      <w:numFmt w:val="decimal"/>
      <w:lvlText w:val="%7."/>
      <w:lvlJc w:val="left"/>
      <w:pPr>
        <w:tabs>
          <w:tab w:val="left" w:pos="2759"/>
        </w:tabs>
        <w:ind w:left="2759" w:hanging="420"/>
      </w:pPr>
    </w:lvl>
    <w:lvl w:ilvl="7" w:tentative="0">
      <w:start w:val="1"/>
      <w:numFmt w:val="lowerLetter"/>
      <w:lvlText w:val="%8)"/>
      <w:lvlJc w:val="left"/>
      <w:pPr>
        <w:tabs>
          <w:tab w:val="left" w:pos="3179"/>
        </w:tabs>
        <w:ind w:left="3179" w:hanging="420"/>
      </w:pPr>
    </w:lvl>
    <w:lvl w:ilvl="8" w:tentative="0">
      <w:start w:val="1"/>
      <w:numFmt w:val="lowerRoman"/>
      <w:lvlText w:val="%9."/>
      <w:lvlJc w:val="right"/>
      <w:pPr>
        <w:tabs>
          <w:tab w:val="left" w:pos="3599"/>
        </w:tabs>
        <w:ind w:left="3599" w:hanging="420"/>
      </w:pPr>
    </w:lvl>
  </w:abstractNum>
  <w:abstractNum w:abstractNumId="2">
    <w:nsid w:val="1D0D278B"/>
    <w:multiLevelType w:val="multilevel"/>
    <w:tmpl w:val="1D0D278B"/>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0482C2D"/>
    <w:multiLevelType w:val="multilevel"/>
    <w:tmpl w:val="20482C2D"/>
    <w:lvl w:ilvl="0" w:tentative="0">
      <w:start w:val="1"/>
      <w:numFmt w:val="decimal"/>
      <w:lvlText w:val="2.%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233C6D0B"/>
    <w:multiLevelType w:val="multilevel"/>
    <w:tmpl w:val="233C6D0B"/>
    <w:lvl w:ilvl="0" w:tentative="0">
      <w:start w:val="1"/>
      <w:numFmt w:val="decimal"/>
      <w:lvlText w:val="6.%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2B1C1F18"/>
    <w:multiLevelType w:val="multilevel"/>
    <w:tmpl w:val="2B1C1F18"/>
    <w:lvl w:ilvl="0" w:tentative="0">
      <w:start w:val="1"/>
      <w:numFmt w:val="decimal"/>
      <w:lvlText w:val="2.%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6">
    <w:nsid w:val="2F580ADD"/>
    <w:multiLevelType w:val="multilevel"/>
    <w:tmpl w:val="2F580ADD"/>
    <w:lvl w:ilvl="0" w:tentative="0">
      <w:start w:val="1"/>
      <w:numFmt w:val="decimal"/>
      <w:lvlText w:val="1.%1"/>
      <w:lvlJc w:val="left"/>
      <w:pPr>
        <w:tabs>
          <w:tab w:val="left" w:pos="1438"/>
        </w:tabs>
        <w:ind w:left="1438" w:hanging="720"/>
      </w:pPr>
      <w:rPr>
        <w:rFonts w:hint="default"/>
      </w:rPr>
    </w:lvl>
    <w:lvl w:ilvl="1" w:tentative="0">
      <w:start w:val="1"/>
      <w:numFmt w:val="lowerLetter"/>
      <w:lvlText w:val="%2)"/>
      <w:lvlJc w:val="left"/>
      <w:pPr>
        <w:tabs>
          <w:tab w:val="left" w:pos="1558"/>
        </w:tabs>
        <w:ind w:left="1558" w:hanging="420"/>
      </w:pPr>
    </w:lvl>
    <w:lvl w:ilvl="2" w:tentative="0">
      <w:start w:val="1"/>
      <w:numFmt w:val="lowerRoman"/>
      <w:lvlText w:val="%3."/>
      <w:lvlJc w:val="right"/>
      <w:pPr>
        <w:tabs>
          <w:tab w:val="left" w:pos="1978"/>
        </w:tabs>
        <w:ind w:left="1978" w:hanging="420"/>
      </w:pPr>
    </w:lvl>
    <w:lvl w:ilvl="3" w:tentative="0">
      <w:start w:val="1"/>
      <w:numFmt w:val="decimal"/>
      <w:lvlText w:val="%4."/>
      <w:lvlJc w:val="left"/>
      <w:pPr>
        <w:tabs>
          <w:tab w:val="left" w:pos="2398"/>
        </w:tabs>
        <w:ind w:left="2398" w:hanging="420"/>
      </w:pPr>
    </w:lvl>
    <w:lvl w:ilvl="4" w:tentative="0">
      <w:start w:val="1"/>
      <w:numFmt w:val="lowerLetter"/>
      <w:lvlText w:val="%5)"/>
      <w:lvlJc w:val="left"/>
      <w:pPr>
        <w:tabs>
          <w:tab w:val="left" w:pos="2818"/>
        </w:tabs>
        <w:ind w:left="2818" w:hanging="420"/>
      </w:pPr>
    </w:lvl>
    <w:lvl w:ilvl="5" w:tentative="0">
      <w:start w:val="1"/>
      <w:numFmt w:val="lowerRoman"/>
      <w:lvlText w:val="%6."/>
      <w:lvlJc w:val="right"/>
      <w:pPr>
        <w:tabs>
          <w:tab w:val="left" w:pos="3238"/>
        </w:tabs>
        <w:ind w:left="3238" w:hanging="420"/>
      </w:pPr>
    </w:lvl>
    <w:lvl w:ilvl="6" w:tentative="0">
      <w:start w:val="1"/>
      <w:numFmt w:val="decimal"/>
      <w:lvlText w:val="%7."/>
      <w:lvlJc w:val="left"/>
      <w:pPr>
        <w:tabs>
          <w:tab w:val="left" w:pos="3658"/>
        </w:tabs>
        <w:ind w:left="3658" w:hanging="420"/>
      </w:pPr>
    </w:lvl>
    <w:lvl w:ilvl="7" w:tentative="0">
      <w:start w:val="1"/>
      <w:numFmt w:val="lowerLetter"/>
      <w:lvlText w:val="%8)"/>
      <w:lvlJc w:val="left"/>
      <w:pPr>
        <w:tabs>
          <w:tab w:val="left" w:pos="4078"/>
        </w:tabs>
        <w:ind w:left="4078" w:hanging="420"/>
      </w:pPr>
    </w:lvl>
    <w:lvl w:ilvl="8" w:tentative="0">
      <w:start w:val="1"/>
      <w:numFmt w:val="lowerRoman"/>
      <w:lvlText w:val="%9."/>
      <w:lvlJc w:val="right"/>
      <w:pPr>
        <w:tabs>
          <w:tab w:val="left" w:pos="4498"/>
        </w:tabs>
        <w:ind w:left="4498" w:hanging="420"/>
      </w:pPr>
    </w:lvl>
  </w:abstractNum>
  <w:abstractNum w:abstractNumId="7">
    <w:nsid w:val="363C642F"/>
    <w:multiLevelType w:val="multilevel"/>
    <w:tmpl w:val="363C642F"/>
    <w:lvl w:ilvl="0" w:tentative="0">
      <w:start w:val="1"/>
      <w:numFmt w:val="decimal"/>
      <w:lvlText w:val="（%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3A24442D"/>
    <w:multiLevelType w:val="multilevel"/>
    <w:tmpl w:val="3A24442D"/>
    <w:lvl w:ilvl="0" w:tentative="0">
      <w:start w:val="2"/>
      <w:numFmt w:val="decimal"/>
      <w:pStyle w:val="3"/>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9">
    <w:nsid w:val="4DF62D2F"/>
    <w:multiLevelType w:val="multilevel"/>
    <w:tmpl w:val="4DF62D2F"/>
    <w:lvl w:ilvl="0" w:tentative="0">
      <w:start w:val="1"/>
      <w:numFmt w:val="decimal"/>
      <w:lvlText w:val="（%1）"/>
      <w:lvlJc w:val="left"/>
      <w:pPr>
        <w:tabs>
          <w:tab w:val="left" w:pos="481"/>
        </w:tabs>
        <w:ind w:left="481" w:hanging="720"/>
      </w:pPr>
      <w:rPr>
        <w:rFonts w:hint="default"/>
      </w:rPr>
    </w:lvl>
    <w:lvl w:ilvl="1" w:tentative="0">
      <w:start w:val="1"/>
      <w:numFmt w:val="decimal"/>
      <w:lvlText w:val="%2."/>
      <w:lvlJc w:val="left"/>
      <w:pPr>
        <w:tabs>
          <w:tab w:val="left" w:pos="780"/>
        </w:tabs>
        <w:ind w:left="780" w:hanging="360"/>
      </w:pPr>
      <w:rPr>
        <w:rFonts w:hint="default" w:ascii="宋体" w:hAnsi="宋体"/>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4E5E31DF"/>
    <w:multiLevelType w:val="multilevel"/>
    <w:tmpl w:val="4E5E31DF"/>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590AD9C3"/>
    <w:multiLevelType w:val="singleLevel"/>
    <w:tmpl w:val="590AD9C3"/>
    <w:lvl w:ilvl="0" w:tentative="0">
      <w:start w:val="1"/>
      <w:numFmt w:val="decimal"/>
      <w:suff w:val="space"/>
      <w:lvlText w:val="（%1）"/>
      <w:lvlJc w:val="left"/>
    </w:lvl>
  </w:abstractNum>
  <w:abstractNum w:abstractNumId="12">
    <w:nsid w:val="59DD82D8"/>
    <w:multiLevelType w:val="singleLevel"/>
    <w:tmpl w:val="59DD82D8"/>
    <w:lvl w:ilvl="0" w:tentative="0">
      <w:start w:val="4"/>
      <w:numFmt w:val="decimal"/>
      <w:suff w:val="space"/>
      <w:lvlText w:val="（%1）"/>
      <w:lvlJc w:val="left"/>
    </w:lvl>
  </w:abstractNum>
  <w:abstractNum w:abstractNumId="13">
    <w:nsid w:val="63DD4F01"/>
    <w:multiLevelType w:val="multilevel"/>
    <w:tmpl w:val="63DD4F01"/>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14">
    <w:nsid w:val="64352317"/>
    <w:multiLevelType w:val="multilevel"/>
    <w:tmpl w:val="64352317"/>
    <w:lvl w:ilvl="0" w:tentative="0">
      <w:start w:val="1"/>
      <w:numFmt w:val="decimal"/>
      <w:lvlText w:val="（%1）"/>
      <w:lvlJc w:val="left"/>
      <w:pPr>
        <w:tabs>
          <w:tab w:val="left" w:pos="481"/>
        </w:tabs>
        <w:ind w:left="481" w:hanging="720"/>
      </w:pPr>
      <w:rPr>
        <w:rFonts w:hint="default"/>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5">
    <w:nsid w:val="77B11D4D"/>
    <w:multiLevelType w:val="multilevel"/>
    <w:tmpl w:val="77B11D4D"/>
    <w:lvl w:ilvl="0" w:tentative="0">
      <w:start w:val="1"/>
      <w:numFmt w:val="decimal"/>
      <w:lvlText w:val="4.%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8"/>
  </w:num>
  <w:num w:numId="2">
    <w:abstractNumId w:val="1"/>
  </w:num>
  <w:num w:numId="3">
    <w:abstractNumId w:val="13"/>
  </w:num>
  <w:num w:numId="4">
    <w:abstractNumId w:val="5"/>
  </w:num>
  <w:num w:numId="5">
    <w:abstractNumId w:val="6"/>
  </w:num>
  <w:num w:numId="6">
    <w:abstractNumId w:val="10"/>
  </w:num>
  <w:num w:numId="7">
    <w:abstractNumId w:val="15"/>
  </w:num>
  <w:num w:numId="8">
    <w:abstractNumId w:val="4"/>
  </w:num>
  <w:num w:numId="9">
    <w:abstractNumId w:val="3"/>
  </w:num>
  <w:num w:numId="10">
    <w:abstractNumId w:val="2"/>
  </w:num>
  <w:num w:numId="11">
    <w:abstractNumId w:val="11"/>
  </w:num>
  <w:num w:numId="12">
    <w:abstractNumId w:val="14"/>
  </w:num>
  <w:num w:numId="13">
    <w:abstractNumId w:val="12"/>
  </w:num>
  <w:num w:numId="14">
    <w:abstractNumId w:val="9"/>
  </w:num>
  <w:num w:numId="15">
    <w:abstractNumId w:val="7"/>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D76D5"/>
    <w:rsid w:val="000021D4"/>
    <w:rsid w:val="000101F0"/>
    <w:rsid w:val="00011A53"/>
    <w:rsid w:val="00013B61"/>
    <w:rsid w:val="00014F27"/>
    <w:rsid w:val="0002460D"/>
    <w:rsid w:val="000261C7"/>
    <w:rsid w:val="00026AD9"/>
    <w:rsid w:val="000339FA"/>
    <w:rsid w:val="00041D3A"/>
    <w:rsid w:val="00043CED"/>
    <w:rsid w:val="00044E35"/>
    <w:rsid w:val="00046E0D"/>
    <w:rsid w:val="00052FB4"/>
    <w:rsid w:val="000540A5"/>
    <w:rsid w:val="00056408"/>
    <w:rsid w:val="00066957"/>
    <w:rsid w:val="00075BB9"/>
    <w:rsid w:val="00076540"/>
    <w:rsid w:val="000770BE"/>
    <w:rsid w:val="00082811"/>
    <w:rsid w:val="000849F9"/>
    <w:rsid w:val="00084B6B"/>
    <w:rsid w:val="00084C8D"/>
    <w:rsid w:val="00086BD7"/>
    <w:rsid w:val="00092488"/>
    <w:rsid w:val="00092574"/>
    <w:rsid w:val="00092A9D"/>
    <w:rsid w:val="00095CD9"/>
    <w:rsid w:val="00096A55"/>
    <w:rsid w:val="000A546B"/>
    <w:rsid w:val="000B1D0F"/>
    <w:rsid w:val="000B4B51"/>
    <w:rsid w:val="000C0BF7"/>
    <w:rsid w:val="000C0C0F"/>
    <w:rsid w:val="000C3A3B"/>
    <w:rsid w:val="000C3C3D"/>
    <w:rsid w:val="000C7A4F"/>
    <w:rsid w:val="000D21CC"/>
    <w:rsid w:val="000D3500"/>
    <w:rsid w:val="000D5FEE"/>
    <w:rsid w:val="000D662E"/>
    <w:rsid w:val="000E2827"/>
    <w:rsid w:val="000E4A32"/>
    <w:rsid w:val="000E65BE"/>
    <w:rsid w:val="000E79B8"/>
    <w:rsid w:val="000F5C15"/>
    <w:rsid w:val="000F63F9"/>
    <w:rsid w:val="001039C3"/>
    <w:rsid w:val="00112553"/>
    <w:rsid w:val="00113268"/>
    <w:rsid w:val="001140CE"/>
    <w:rsid w:val="001141E1"/>
    <w:rsid w:val="00116C26"/>
    <w:rsid w:val="00121B97"/>
    <w:rsid w:val="0012441E"/>
    <w:rsid w:val="001316FF"/>
    <w:rsid w:val="0013216D"/>
    <w:rsid w:val="00133DDC"/>
    <w:rsid w:val="00147D1A"/>
    <w:rsid w:val="00155FF8"/>
    <w:rsid w:val="0016202B"/>
    <w:rsid w:val="00165285"/>
    <w:rsid w:val="00167798"/>
    <w:rsid w:val="00180B71"/>
    <w:rsid w:val="00180D2B"/>
    <w:rsid w:val="00180E09"/>
    <w:rsid w:val="00182D9A"/>
    <w:rsid w:val="0018538A"/>
    <w:rsid w:val="00187506"/>
    <w:rsid w:val="00190EED"/>
    <w:rsid w:val="00195629"/>
    <w:rsid w:val="001A0FE1"/>
    <w:rsid w:val="001A7958"/>
    <w:rsid w:val="001B1072"/>
    <w:rsid w:val="001B2EB0"/>
    <w:rsid w:val="001B3D8E"/>
    <w:rsid w:val="001C119F"/>
    <w:rsid w:val="001C650C"/>
    <w:rsid w:val="001D133D"/>
    <w:rsid w:val="001D475C"/>
    <w:rsid w:val="001D51EE"/>
    <w:rsid w:val="001E183D"/>
    <w:rsid w:val="001E2B37"/>
    <w:rsid w:val="001E2C00"/>
    <w:rsid w:val="001E30F6"/>
    <w:rsid w:val="001F1C19"/>
    <w:rsid w:val="001F5843"/>
    <w:rsid w:val="001F5DD7"/>
    <w:rsid w:val="00202775"/>
    <w:rsid w:val="00202D71"/>
    <w:rsid w:val="00215DB7"/>
    <w:rsid w:val="002200C2"/>
    <w:rsid w:val="00221D60"/>
    <w:rsid w:val="00223571"/>
    <w:rsid w:val="00223E51"/>
    <w:rsid w:val="002329D2"/>
    <w:rsid w:val="00232EB7"/>
    <w:rsid w:val="00236CEA"/>
    <w:rsid w:val="002370AF"/>
    <w:rsid w:val="00256DE4"/>
    <w:rsid w:val="00263294"/>
    <w:rsid w:val="00267327"/>
    <w:rsid w:val="00267EA3"/>
    <w:rsid w:val="002701B9"/>
    <w:rsid w:val="00281063"/>
    <w:rsid w:val="0028193E"/>
    <w:rsid w:val="00284152"/>
    <w:rsid w:val="00285923"/>
    <w:rsid w:val="0029373D"/>
    <w:rsid w:val="002947F3"/>
    <w:rsid w:val="00297385"/>
    <w:rsid w:val="002A2850"/>
    <w:rsid w:val="002A6F21"/>
    <w:rsid w:val="002B019F"/>
    <w:rsid w:val="002B763B"/>
    <w:rsid w:val="002C34FF"/>
    <w:rsid w:val="002C4318"/>
    <w:rsid w:val="002E0B1F"/>
    <w:rsid w:val="002E11EF"/>
    <w:rsid w:val="002F0D1F"/>
    <w:rsid w:val="002F10F3"/>
    <w:rsid w:val="002F11D4"/>
    <w:rsid w:val="002F3F9C"/>
    <w:rsid w:val="00301C77"/>
    <w:rsid w:val="00302437"/>
    <w:rsid w:val="003040EC"/>
    <w:rsid w:val="0030665B"/>
    <w:rsid w:val="00306F03"/>
    <w:rsid w:val="0031018E"/>
    <w:rsid w:val="0031027C"/>
    <w:rsid w:val="00310CCA"/>
    <w:rsid w:val="00313A63"/>
    <w:rsid w:val="003179E5"/>
    <w:rsid w:val="00320057"/>
    <w:rsid w:val="003277B2"/>
    <w:rsid w:val="003303BB"/>
    <w:rsid w:val="003318CE"/>
    <w:rsid w:val="0034038F"/>
    <w:rsid w:val="00340663"/>
    <w:rsid w:val="00345892"/>
    <w:rsid w:val="00346EAF"/>
    <w:rsid w:val="003512ED"/>
    <w:rsid w:val="00352928"/>
    <w:rsid w:val="00352B25"/>
    <w:rsid w:val="00352E00"/>
    <w:rsid w:val="00353F61"/>
    <w:rsid w:val="00360EB8"/>
    <w:rsid w:val="0036186C"/>
    <w:rsid w:val="00361A18"/>
    <w:rsid w:val="0037722F"/>
    <w:rsid w:val="00382B0F"/>
    <w:rsid w:val="00385091"/>
    <w:rsid w:val="00397192"/>
    <w:rsid w:val="003A5FF3"/>
    <w:rsid w:val="003A70A3"/>
    <w:rsid w:val="003B09EB"/>
    <w:rsid w:val="003B1B0F"/>
    <w:rsid w:val="003B4658"/>
    <w:rsid w:val="003B5F99"/>
    <w:rsid w:val="003B669E"/>
    <w:rsid w:val="003C03FA"/>
    <w:rsid w:val="003C1146"/>
    <w:rsid w:val="003C4A9F"/>
    <w:rsid w:val="003C575E"/>
    <w:rsid w:val="003C6A93"/>
    <w:rsid w:val="003D163E"/>
    <w:rsid w:val="003D1854"/>
    <w:rsid w:val="003D5E0F"/>
    <w:rsid w:val="003D7EE4"/>
    <w:rsid w:val="003E5555"/>
    <w:rsid w:val="003E736F"/>
    <w:rsid w:val="003F038F"/>
    <w:rsid w:val="003F084A"/>
    <w:rsid w:val="003F31DD"/>
    <w:rsid w:val="003F47F6"/>
    <w:rsid w:val="00401414"/>
    <w:rsid w:val="004034FB"/>
    <w:rsid w:val="004106EF"/>
    <w:rsid w:val="004165D2"/>
    <w:rsid w:val="00416C89"/>
    <w:rsid w:val="00422E5A"/>
    <w:rsid w:val="00424B1A"/>
    <w:rsid w:val="004265A5"/>
    <w:rsid w:val="00434A93"/>
    <w:rsid w:val="00454471"/>
    <w:rsid w:val="00460CD7"/>
    <w:rsid w:val="00462FA0"/>
    <w:rsid w:val="00463BF0"/>
    <w:rsid w:val="004649B6"/>
    <w:rsid w:val="00475902"/>
    <w:rsid w:val="004871E5"/>
    <w:rsid w:val="00493883"/>
    <w:rsid w:val="0049786C"/>
    <w:rsid w:val="00497C72"/>
    <w:rsid w:val="004A5EBD"/>
    <w:rsid w:val="004B008D"/>
    <w:rsid w:val="004B33B1"/>
    <w:rsid w:val="004B3B54"/>
    <w:rsid w:val="004C048E"/>
    <w:rsid w:val="004C6407"/>
    <w:rsid w:val="004D0C1C"/>
    <w:rsid w:val="004D3306"/>
    <w:rsid w:val="004D3BA7"/>
    <w:rsid w:val="004D66A5"/>
    <w:rsid w:val="004D71A4"/>
    <w:rsid w:val="004E2886"/>
    <w:rsid w:val="004E575A"/>
    <w:rsid w:val="004E75B9"/>
    <w:rsid w:val="004F3CDA"/>
    <w:rsid w:val="005016D4"/>
    <w:rsid w:val="005017E5"/>
    <w:rsid w:val="00502291"/>
    <w:rsid w:val="005078E0"/>
    <w:rsid w:val="00507C35"/>
    <w:rsid w:val="0051391A"/>
    <w:rsid w:val="0051443A"/>
    <w:rsid w:val="0052062C"/>
    <w:rsid w:val="00523364"/>
    <w:rsid w:val="00526534"/>
    <w:rsid w:val="00527968"/>
    <w:rsid w:val="00532DC1"/>
    <w:rsid w:val="00540DF2"/>
    <w:rsid w:val="0055183E"/>
    <w:rsid w:val="0055587A"/>
    <w:rsid w:val="00561A1C"/>
    <w:rsid w:val="005655AD"/>
    <w:rsid w:val="005655D8"/>
    <w:rsid w:val="00570137"/>
    <w:rsid w:val="005706A9"/>
    <w:rsid w:val="00571F77"/>
    <w:rsid w:val="005752B3"/>
    <w:rsid w:val="00576D06"/>
    <w:rsid w:val="00581231"/>
    <w:rsid w:val="0058194A"/>
    <w:rsid w:val="00584026"/>
    <w:rsid w:val="005878C9"/>
    <w:rsid w:val="00591486"/>
    <w:rsid w:val="00592653"/>
    <w:rsid w:val="005941E6"/>
    <w:rsid w:val="00597349"/>
    <w:rsid w:val="005A1347"/>
    <w:rsid w:val="005A37B4"/>
    <w:rsid w:val="005A3C57"/>
    <w:rsid w:val="005A54C2"/>
    <w:rsid w:val="005A6864"/>
    <w:rsid w:val="005B40BB"/>
    <w:rsid w:val="005C4B0C"/>
    <w:rsid w:val="005C6E35"/>
    <w:rsid w:val="005E35CD"/>
    <w:rsid w:val="005E414E"/>
    <w:rsid w:val="005E6EFA"/>
    <w:rsid w:val="00612204"/>
    <w:rsid w:val="00613E34"/>
    <w:rsid w:val="006179B0"/>
    <w:rsid w:val="006212E1"/>
    <w:rsid w:val="00624923"/>
    <w:rsid w:val="00625801"/>
    <w:rsid w:val="00627AB6"/>
    <w:rsid w:val="006308D3"/>
    <w:rsid w:val="006328F3"/>
    <w:rsid w:val="00636DD4"/>
    <w:rsid w:val="006403E7"/>
    <w:rsid w:val="006441BA"/>
    <w:rsid w:val="00644ED6"/>
    <w:rsid w:val="006454BF"/>
    <w:rsid w:val="00657074"/>
    <w:rsid w:val="00665697"/>
    <w:rsid w:val="0067016F"/>
    <w:rsid w:val="00670B84"/>
    <w:rsid w:val="00675CA9"/>
    <w:rsid w:val="00676861"/>
    <w:rsid w:val="00676923"/>
    <w:rsid w:val="00677FDE"/>
    <w:rsid w:val="006858E5"/>
    <w:rsid w:val="0069181C"/>
    <w:rsid w:val="00696895"/>
    <w:rsid w:val="006973D6"/>
    <w:rsid w:val="006A1F7C"/>
    <w:rsid w:val="006A487C"/>
    <w:rsid w:val="006B0DB8"/>
    <w:rsid w:val="006B3202"/>
    <w:rsid w:val="006B78F6"/>
    <w:rsid w:val="006C28AF"/>
    <w:rsid w:val="006C6696"/>
    <w:rsid w:val="006D0447"/>
    <w:rsid w:val="006D2C6D"/>
    <w:rsid w:val="006D342B"/>
    <w:rsid w:val="006E3122"/>
    <w:rsid w:val="006E4F11"/>
    <w:rsid w:val="006F2216"/>
    <w:rsid w:val="006F278E"/>
    <w:rsid w:val="006F2CD3"/>
    <w:rsid w:val="006F32F2"/>
    <w:rsid w:val="006F4E11"/>
    <w:rsid w:val="006F5899"/>
    <w:rsid w:val="007048B7"/>
    <w:rsid w:val="00704F17"/>
    <w:rsid w:val="00706449"/>
    <w:rsid w:val="007150D4"/>
    <w:rsid w:val="00715A25"/>
    <w:rsid w:val="007166CF"/>
    <w:rsid w:val="00720135"/>
    <w:rsid w:val="00722349"/>
    <w:rsid w:val="00722963"/>
    <w:rsid w:val="00727FED"/>
    <w:rsid w:val="0073208B"/>
    <w:rsid w:val="00734182"/>
    <w:rsid w:val="0074265C"/>
    <w:rsid w:val="00742F57"/>
    <w:rsid w:val="0074466A"/>
    <w:rsid w:val="00753760"/>
    <w:rsid w:val="00754861"/>
    <w:rsid w:val="00756DA7"/>
    <w:rsid w:val="00761C0E"/>
    <w:rsid w:val="00764ECD"/>
    <w:rsid w:val="007659DC"/>
    <w:rsid w:val="007675B0"/>
    <w:rsid w:val="007705F6"/>
    <w:rsid w:val="0077683F"/>
    <w:rsid w:val="0077694C"/>
    <w:rsid w:val="00777BBB"/>
    <w:rsid w:val="0078037E"/>
    <w:rsid w:val="0078132A"/>
    <w:rsid w:val="00782CE5"/>
    <w:rsid w:val="0078450A"/>
    <w:rsid w:val="00785D60"/>
    <w:rsid w:val="007863BB"/>
    <w:rsid w:val="00786F78"/>
    <w:rsid w:val="00794BEE"/>
    <w:rsid w:val="00794C90"/>
    <w:rsid w:val="00797607"/>
    <w:rsid w:val="007A353B"/>
    <w:rsid w:val="007A56AB"/>
    <w:rsid w:val="007A5F85"/>
    <w:rsid w:val="007A7251"/>
    <w:rsid w:val="007A7A33"/>
    <w:rsid w:val="007B6628"/>
    <w:rsid w:val="007C6C00"/>
    <w:rsid w:val="007C72F2"/>
    <w:rsid w:val="007D1FD5"/>
    <w:rsid w:val="007D3F48"/>
    <w:rsid w:val="007D5842"/>
    <w:rsid w:val="007D5AB5"/>
    <w:rsid w:val="007D5F38"/>
    <w:rsid w:val="007D76D5"/>
    <w:rsid w:val="007E25FD"/>
    <w:rsid w:val="007E405D"/>
    <w:rsid w:val="007E4D5E"/>
    <w:rsid w:val="007E514F"/>
    <w:rsid w:val="007F0D00"/>
    <w:rsid w:val="007F0EB1"/>
    <w:rsid w:val="007F2835"/>
    <w:rsid w:val="007F4320"/>
    <w:rsid w:val="007F45C3"/>
    <w:rsid w:val="00800D26"/>
    <w:rsid w:val="00807B8C"/>
    <w:rsid w:val="00810F34"/>
    <w:rsid w:val="0081613B"/>
    <w:rsid w:val="00822550"/>
    <w:rsid w:val="00822B7F"/>
    <w:rsid w:val="00822FA0"/>
    <w:rsid w:val="008236B8"/>
    <w:rsid w:val="00824263"/>
    <w:rsid w:val="00824403"/>
    <w:rsid w:val="00824A50"/>
    <w:rsid w:val="00830876"/>
    <w:rsid w:val="0083679C"/>
    <w:rsid w:val="008419FF"/>
    <w:rsid w:val="00844E49"/>
    <w:rsid w:val="008478B2"/>
    <w:rsid w:val="00850376"/>
    <w:rsid w:val="008530B5"/>
    <w:rsid w:val="00853CA1"/>
    <w:rsid w:val="00855134"/>
    <w:rsid w:val="00860EFF"/>
    <w:rsid w:val="008635C8"/>
    <w:rsid w:val="008668A0"/>
    <w:rsid w:val="00871ECE"/>
    <w:rsid w:val="00872AA6"/>
    <w:rsid w:val="00873DDE"/>
    <w:rsid w:val="008744D4"/>
    <w:rsid w:val="00874DF7"/>
    <w:rsid w:val="00876AEB"/>
    <w:rsid w:val="0088165A"/>
    <w:rsid w:val="008834BA"/>
    <w:rsid w:val="008909A6"/>
    <w:rsid w:val="008A0C0C"/>
    <w:rsid w:val="008A1EFE"/>
    <w:rsid w:val="008A299A"/>
    <w:rsid w:val="008A3BBB"/>
    <w:rsid w:val="008A5221"/>
    <w:rsid w:val="008B519F"/>
    <w:rsid w:val="008C1C47"/>
    <w:rsid w:val="008C287F"/>
    <w:rsid w:val="008C38A6"/>
    <w:rsid w:val="008C6005"/>
    <w:rsid w:val="008C78B5"/>
    <w:rsid w:val="008E261D"/>
    <w:rsid w:val="008E59E4"/>
    <w:rsid w:val="008F1558"/>
    <w:rsid w:val="00906375"/>
    <w:rsid w:val="00906C27"/>
    <w:rsid w:val="00910C90"/>
    <w:rsid w:val="00912A72"/>
    <w:rsid w:val="009142A5"/>
    <w:rsid w:val="009167D1"/>
    <w:rsid w:val="00916CA0"/>
    <w:rsid w:val="00937F5B"/>
    <w:rsid w:val="00941AF3"/>
    <w:rsid w:val="0094524A"/>
    <w:rsid w:val="009456EC"/>
    <w:rsid w:val="00946F25"/>
    <w:rsid w:val="00951384"/>
    <w:rsid w:val="0095171D"/>
    <w:rsid w:val="00955400"/>
    <w:rsid w:val="00960279"/>
    <w:rsid w:val="009664A5"/>
    <w:rsid w:val="00972674"/>
    <w:rsid w:val="009747F8"/>
    <w:rsid w:val="009802C4"/>
    <w:rsid w:val="0098050A"/>
    <w:rsid w:val="00982166"/>
    <w:rsid w:val="00982480"/>
    <w:rsid w:val="009851CB"/>
    <w:rsid w:val="00990813"/>
    <w:rsid w:val="0099321E"/>
    <w:rsid w:val="009933DE"/>
    <w:rsid w:val="009964F7"/>
    <w:rsid w:val="009A4A68"/>
    <w:rsid w:val="009A69DE"/>
    <w:rsid w:val="009B2BC9"/>
    <w:rsid w:val="009B3F2C"/>
    <w:rsid w:val="009B7E02"/>
    <w:rsid w:val="009C1930"/>
    <w:rsid w:val="009C1BC0"/>
    <w:rsid w:val="009C43D7"/>
    <w:rsid w:val="009C5AF3"/>
    <w:rsid w:val="009C6808"/>
    <w:rsid w:val="009D10C7"/>
    <w:rsid w:val="009D434E"/>
    <w:rsid w:val="009D72FE"/>
    <w:rsid w:val="009E209F"/>
    <w:rsid w:val="009E42C5"/>
    <w:rsid w:val="009E45DA"/>
    <w:rsid w:val="009E5392"/>
    <w:rsid w:val="009F5B8C"/>
    <w:rsid w:val="00A01412"/>
    <w:rsid w:val="00A06AAB"/>
    <w:rsid w:val="00A10782"/>
    <w:rsid w:val="00A10DFC"/>
    <w:rsid w:val="00A1330F"/>
    <w:rsid w:val="00A14318"/>
    <w:rsid w:val="00A151A5"/>
    <w:rsid w:val="00A157F2"/>
    <w:rsid w:val="00A165EB"/>
    <w:rsid w:val="00A25DA0"/>
    <w:rsid w:val="00A26648"/>
    <w:rsid w:val="00A33C9A"/>
    <w:rsid w:val="00A341D3"/>
    <w:rsid w:val="00A34765"/>
    <w:rsid w:val="00A34FAA"/>
    <w:rsid w:val="00A3746A"/>
    <w:rsid w:val="00A42D62"/>
    <w:rsid w:val="00A467D2"/>
    <w:rsid w:val="00A53876"/>
    <w:rsid w:val="00A540A9"/>
    <w:rsid w:val="00A60EFE"/>
    <w:rsid w:val="00A65C99"/>
    <w:rsid w:val="00A66EC1"/>
    <w:rsid w:val="00A7174A"/>
    <w:rsid w:val="00A75174"/>
    <w:rsid w:val="00A751B2"/>
    <w:rsid w:val="00A764D2"/>
    <w:rsid w:val="00A77048"/>
    <w:rsid w:val="00A977C1"/>
    <w:rsid w:val="00A97A30"/>
    <w:rsid w:val="00AA7656"/>
    <w:rsid w:val="00AB1F6F"/>
    <w:rsid w:val="00AB77E3"/>
    <w:rsid w:val="00AC0940"/>
    <w:rsid w:val="00AC199B"/>
    <w:rsid w:val="00AC5E6E"/>
    <w:rsid w:val="00AD5A1D"/>
    <w:rsid w:val="00AD6E0A"/>
    <w:rsid w:val="00AE0B10"/>
    <w:rsid w:val="00AE45A5"/>
    <w:rsid w:val="00AE5A32"/>
    <w:rsid w:val="00AF38DD"/>
    <w:rsid w:val="00AF4A8F"/>
    <w:rsid w:val="00AF59F2"/>
    <w:rsid w:val="00B033D4"/>
    <w:rsid w:val="00B038EB"/>
    <w:rsid w:val="00B0532B"/>
    <w:rsid w:val="00B07D42"/>
    <w:rsid w:val="00B108F2"/>
    <w:rsid w:val="00B20428"/>
    <w:rsid w:val="00B2298F"/>
    <w:rsid w:val="00B234E2"/>
    <w:rsid w:val="00B256AF"/>
    <w:rsid w:val="00B25BD9"/>
    <w:rsid w:val="00B320A1"/>
    <w:rsid w:val="00B51772"/>
    <w:rsid w:val="00B53F2E"/>
    <w:rsid w:val="00B54FA9"/>
    <w:rsid w:val="00B55F40"/>
    <w:rsid w:val="00B67431"/>
    <w:rsid w:val="00B80015"/>
    <w:rsid w:val="00B92EC1"/>
    <w:rsid w:val="00B94BFA"/>
    <w:rsid w:val="00B97692"/>
    <w:rsid w:val="00BA5547"/>
    <w:rsid w:val="00BA5CF1"/>
    <w:rsid w:val="00BB4E2C"/>
    <w:rsid w:val="00BB5A80"/>
    <w:rsid w:val="00BB7EE0"/>
    <w:rsid w:val="00BC05B1"/>
    <w:rsid w:val="00BC1AA6"/>
    <w:rsid w:val="00BC3916"/>
    <w:rsid w:val="00BC4FEB"/>
    <w:rsid w:val="00BC62A3"/>
    <w:rsid w:val="00BD0EAE"/>
    <w:rsid w:val="00BD13AE"/>
    <w:rsid w:val="00BD2DD2"/>
    <w:rsid w:val="00BD7205"/>
    <w:rsid w:val="00BE56DE"/>
    <w:rsid w:val="00BE5F1B"/>
    <w:rsid w:val="00BE638F"/>
    <w:rsid w:val="00BF4FB8"/>
    <w:rsid w:val="00C07F10"/>
    <w:rsid w:val="00C1160C"/>
    <w:rsid w:val="00C164C3"/>
    <w:rsid w:val="00C16D68"/>
    <w:rsid w:val="00C178F1"/>
    <w:rsid w:val="00C228C5"/>
    <w:rsid w:val="00C24383"/>
    <w:rsid w:val="00C243D3"/>
    <w:rsid w:val="00C248DF"/>
    <w:rsid w:val="00C2531C"/>
    <w:rsid w:val="00C30B3A"/>
    <w:rsid w:val="00C31680"/>
    <w:rsid w:val="00C33627"/>
    <w:rsid w:val="00C35498"/>
    <w:rsid w:val="00C37B0A"/>
    <w:rsid w:val="00C40357"/>
    <w:rsid w:val="00C5567C"/>
    <w:rsid w:val="00C6493D"/>
    <w:rsid w:val="00C656F5"/>
    <w:rsid w:val="00C702E4"/>
    <w:rsid w:val="00C7076C"/>
    <w:rsid w:val="00C70BFA"/>
    <w:rsid w:val="00C759BE"/>
    <w:rsid w:val="00C77BFE"/>
    <w:rsid w:val="00C84619"/>
    <w:rsid w:val="00C866EF"/>
    <w:rsid w:val="00C943BB"/>
    <w:rsid w:val="00CA41FE"/>
    <w:rsid w:val="00CA57DD"/>
    <w:rsid w:val="00CA6428"/>
    <w:rsid w:val="00CB2778"/>
    <w:rsid w:val="00CB2CEC"/>
    <w:rsid w:val="00CB6ACE"/>
    <w:rsid w:val="00CB7995"/>
    <w:rsid w:val="00CC4F58"/>
    <w:rsid w:val="00CD00E8"/>
    <w:rsid w:val="00CD5BE3"/>
    <w:rsid w:val="00CD76C6"/>
    <w:rsid w:val="00CE0425"/>
    <w:rsid w:val="00CE1235"/>
    <w:rsid w:val="00D03661"/>
    <w:rsid w:val="00D05CA4"/>
    <w:rsid w:val="00D1577A"/>
    <w:rsid w:val="00D20F15"/>
    <w:rsid w:val="00D45896"/>
    <w:rsid w:val="00D460DF"/>
    <w:rsid w:val="00D471EC"/>
    <w:rsid w:val="00D50B8A"/>
    <w:rsid w:val="00D515A0"/>
    <w:rsid w:val="00D55796"/>
    <w:rsid w:val="00D603A4"/>
    <w:rsid w:val="00D76138"/>
    <w:rsid w:val="00D76FDD"/>
    <w:rsid w:val="00D80B29"/>
    <w:rsid w:val="00D80D3E"/>
    <w:rsid w:val="00D8453D"/>
    <w:rsid w:val="00D87421"/>
    <w:rsid w:val="00D971B5"/>
    <w:rsid w:val="00DA216A"/>
    <w:rsid w:val="00DA288F"/>
    <w:rsid w:val="00DA37F9"/>
    <w:rsid w:val="00DA5D98"/>
    <w:rsid w:val="00DB5EDE"/>
    <w:rsid w:val="00DC16E4"/>
    <w:rsid w:val="00DD1017"/>
    <w:rsid w:val="00DD176B"/>
    <w:rsid w:val="00DD4C78"/>
    <w:rsid w:val="00DD57B5"/>
    <w:rsid w:val="00DE2B13"/>
    <w:rsid w:val="00DE5D88"/>
    <w:rsid w:val="00DF08FB"/>
    <w:rsid w:val="00DF6CA7"/>
    <w:rsid w:val="00E033AA"/>
    <w:rsid w:val="00E0367C"/>
    <w:rsid w:val="00E048D6"/>
    <w:rsid w:val="00E07D50"/>
    <w:rsid w:val="00E20BBF"/>
    <w:rsid w:val="00E22591"/>
    <w:rsid w:val="00E25536"/>
    <w:rsid w:val="00E25A7D"/>
    <w:rsid w:val="00E26E16"/>
    <w:rsid w:val="00E3243E"/>
    <w:rsid w:val="00E37930"/>
    <w:rsid w:val="00E4427D"/>
    <w:rsid w:val="00E44850"/>
    <w:rsid w:val="00E50BB6"/>
    <w:rsid w:val="00E52CED"/>
    <w:rsid w:val="00E611C8"/>
    <w:rsid w:val="00E616A5"/>
    <w:rsid w:val="00E63404"/>
    <w:rsid w:val="00E634BD"/>
    <w:rsid w:val="00E72695"/>
    <w:rsid w:val="00E72696"/>
    <w:rsid w:val="00E726E4"/>
    <w:rsid w:val="00E75F39"/>
    <w:rsid w:val="00E76A52"/>
    <w:rsid w:val="00E826C7"/>
    <w:rsid w:val="00E83EA1"/>
    <w:rsid w:val="00E85E6E"/>
    <w:rsid w:val="00E8712E"/>
    <w:rsid w:val="00E969E5"/>
    <w:rsid w:val="00E9774B"/>
    <w:rsid w:val="00EA07EE"/>
    <w:rsid w:val="00EA36A4"/>
    <w:rsid w:val="00EA6475"/>
    <w:rsid w:val="00EA7571"/>
    <w:rsid w:val="00EB0032"/>
    <w:rsid w:val="00EB6A9C"/>
    <w:rsid w:val="00EC0B80"/>
    <w:rsid w:val="00EC2771"/>
    <w:rsid w:val="00EC5E98"/>
    <w:rsid w:val="00ED0357"/>
    <w:rsid w:val="00ED0659"/>
    <w:rsid w:val="00ED1E4E"/>
    <w:rsid w:val="00ED34C9"/>
    <w:rsid w:val="00ED7155"/>
    <w:rsid w:val="00EE121D"/>
    <w:rsid w:val="00EE1407"/>
    <w:rsid w:val="00EE6221"/>
    <w:rsid w:val="00EE6DA3"/>
    <w:rsid w:val="00EE7F8B"/>
    <w:rsid w:val="00EF3510"/>
    <w:rsid w:val="00F03BF2"/>
    <w:rsid w:val="00F05171"/>
    <w:rsid w:val="00F0680A"/>
    <w:rsid w:val="00F135E7"/>
    <w:rsid w:val="00F22E85"/>
    <w:rsid w:val="00F25218"/>
    <w:rsid w:val="00F259AE"/>
    <w:rsid w:val="00F31330"/>
    <w:rsid w:val="00F33E07"/>
    <w:rsid w:val="00F408AF"/>
    <w:rsid w:val="00F409E5"/>
    <w:rsid w:val="00F60937"/>
    <w:rsid w:val="00F709B0"/>
    <w:rsid w:val="00F82EC2"/>
    <w:rsid w:val="00F85C91"/>
    <w:rsid w:val="00F86A5F"/>
    <w:rsid w:val="00F870C6"/>
    <w:rsid w:val="00F908CC"/>
    <w:rsid w:val="00F96AA8"/>
    <w:rsid w:val="00FA172D"/>
    <w:rsid w:val="00FA7CD7"/>
    <w:rsid w:val="00FB0CB8"/>
    <w:rsid w:val="00FB14CA"/>
    <w:rsid w:val="00FB1752"/>
    <w:rsid w:val="00FB6FCD"/>
    <w:rsid w:val="00FC53BF"/>
    <w:rsid w:val="00FC58B5"/>
    <w:rsid w:val="00FC6702"/>
    <w:rsid w:val="00FD107B"/>
    <w:rsid w:val="00FE31D3"/>
    <w:rsid w:val="00FF0B0B"/>
    <w:rsid w:val="00FF0E82"/>
    <w:rsid w:val="00FF2C05"/>
    <w:rsid w:val="00FF3106"/>
    <w:rsid w:val="00FF4A45"/>
    <w:rsid w:val="00FF5FCA"/>
    <w:rsid w:val="010974DB"/>
    <w:rsid w:val="031B422C"/>
    <w:rsid w:val="03627E67"/>
    <w:rsid w:val="036B6473"/>
    <w:rsid w:val="043645E4"/>
    <w:rsid w:val="04E108E2"/>
    <w:rsid w:val="0555612F"/>
    <w:rsid w:val="05FA2518"/>
    <w:rsid w:val="06396B90"/>
    <w:rsid w:val="073143FB"/>
    <w:rsid w:val="07CC63DA"/>
    <w:rsid w:val="07E53700"/>
    <w:rsid w:val="08471D7F"/>
    <w:rsid w:val="08662291"/>
    <w:rsid w:val="08F279E2"/>
    <w:rsid w:val="09DE4B40"/>
    <w:rsid w:val="09F2600C"/>
    <w:rsid w:val="0AC54E9D"/>
    <w:rsid w:val="0AD54BDA"/>
    <w:rsid w:val="0AFB6CAC"/>
    <w:rsid w:val="0B50645E"/>
    <w:rsid w:val="0B6948F1"/>
    <w:rsid w:val="0B6A3D17"/>
    <w:rsid w:val="0B7C46F6"/>
    <w:rsid w:val="0BA43058"/>
    <w:rsid w:val="0C246F78"/>
    <w:rsid w:val="0C961836"/>
    <w:rsid w:val="0CA127FA"/>
    <w:rsid w:val="0D066457"/>
    <w:rsid w:val="0D92714F"/>
    <w:rsid w:val="0EF54881"/>
    <w:rsid w:val="0F0A7732"/>
    <w:rsid w:val="0F6C4701"/>
    <w:rsid w:val="0F6E5BBE"/>
    <w:rsid w:val="0F900189"/>
    <w:rsid w:val="0FEB4CD3"/>
    <w:rsid w:val="100C1DE2"/>
    <w:rsid w:val="104F6C04"/>
    <w:rsid w:val="10C74505"/>
    <w:rsid w:val="11651119"/>
    <w:rsid w:val="122120C1"/>
    <w:rsid w:val="13071A9F"/>
    <w:rsid w:val="13315615"/>
    <w:rsid w:val="1360216B"/>
    <w:rsid w:val="14BD6B55"/>
    <w:rsid w:val="157C59CB"/>
    <w:rsid w:val="15A823E6"/>
    <w:rsid w:val="15B029A2"/>
    <w:rsid w:val="161D6D8C"/>
    <w:rsid w:val="1621753B"/>
    <w:rsid w:val="16224208"/>
    <w:rsid w:val="16450C97"/>
    <w:rsid w:val="16B61174"/>
    <w:rsid w:val="176C3763"/>
    <w:rsid w:val="178D100E"/>
    <w:rsid w:val="17A9055F"/>
    <w:rsid w:val="17E07F69"/>
    <w:rsid w:val="183B44F5"/>
    <w:rsid w:val="19AC22AE"/>
    <w:rsid w:val="1A0903A8"/>
    <w:rsid w:val="1AC30890"/>
    <w:rsid w:val="1B3929CD"/>
    <w:rsid w:val="1B5C0BB4"/>
    <w:rsid w:val="1BC205CD"/>
    <w:rsid w:val="1CB10437"/>
    <w:rsid w:val="1D1C177C"/>
    <w:rsid w:val="1D2D47BA"/>
    <w:rsid w:val="1D3077B4"/>
    <w:rsid w:val="1DB16621"/>
    <w:rsid w:val="1E32703C"/>
    <w:rsid w:val="1E6814BB"/>
    <w:rsid w:val="1F2C4194"/>
    <w:rsid w:val="1F7E5188"/>
    <w:rsid w:val="1FEE30DD"/>
    <w:rsid w:val="1FF24262"/>
    <w:rsid w:val="200A62DA"/>
    <w:rsid w:val="214E5F70"/>
    <w:rsid w:val="21DD349D"/>
    <w:rsid w:val="22803FAB"/>
    <w:rsid w:val="229C0237"/>
    <w:rsid w:val="22BB4045"/>
    <w:rsid w:val="22DC6BE7"/>
    <w:rsid w:val="2305108D"/>
    <w:rsid w:val="230D4016"/>
    <w:rsid w:val="23A8101C"/>
    <w:rsid w:val="23B66F17"/>
    <w:rsid w:val="23BA6994"/>
    <w:rsid w:val="241B5F4A"/>
    <w:rsid w:val="24217D31"/>
    <w:rsid w:val="243A0254"/>
    <w:rsid w:val="24D6667D"/>
    <w:rsid w:val="24E91E1B"/>
    <w:rsid w:val="25334C4B"/>
    <w:rsid w:val="2547624B"/>
    <w:rsid w:val="25EB70F0"/>
    <w:rsid w:val="27211512"/>
    <w:rsid w:val="27871C7F"/>
    <w:rsid w:val="27FA2221"/>
    <w:rsid w:val="28323AAE"/>
    <w:rsid w:val="28454EB3"/>
    <w:rsid w:val="285751A8"/>
    <w:rsid w:val="286B439E"/>
    <w:rsid w:val="28FE6A4D"/>
    <w:rsid w:val="29A42BF5"/>
    <w:rsid w:val="2A071992"/>
    <w:rsid w:val="2A1D6EA4"/>
    <w:rsid w:val="2AE36C8E"/>
    <w:rsid w:val="2B0C57D5"/>
    <w:rsid w:val="2C4D5253"/>
    <w:rsid w:val="2C6A3BAF"/>
    <w:rsid w:val="2C6F63F4"/>
    <w:rsid w:val="2CF57F33"/>
    <w:rsid w:val="2D3A4BC3"/>
    <w:rsid w:val="2DA7128F"/>
    <w:rsid w:val="2DD850F2"/>
    <w:rsid w:val="2E8C2E26"/>
    <w:rsid w:val="2F503AF9"/>
    <w:rsid w:val="2F7B5CA8"/>
    <w:rsid w:val="2F8945C2"/>
    <w:rsid w:val="2F98221C"/>
    <w:rsid w:val="2FCC1679"/>
    <w:rsid w:val="2FFF4E45"/>
    <w:rsid w:val="3099237A"/>
    <w:rsid w:val="30CB06DF"/>
    <w:rsid w:val="311B481E"/>
    <w:rsid w:val="314B756C"/>
    <w:rsid w:val="31DC33F5"/>
    <w:rsid w:val="32F41158"/>
    <w:rsid w:val="336B2834"/>
    <w:rsid w:val="33DC61E7"/>
    <w:rsid w:val="34140171"/>
    <w:rsid w:val="347943A8"/>
    <w:rsid w:val="34C13CB9"/>
    <w:rsid w:val="34CB752E"/>
    <w:rsid w:val="35444E33"/>
    <w:rsid w:val="35915A33"/>
    <w:rsid w:val="35BD3230"/>
    <w:rsid w:val="35CE1C93"/>
    <w:rsid w:val="36A07456"/>
    <w:rsid w:val="36C04AEC"/>
    <w:rsid w:val="36D80657"/>
    <w:rsid w:val="371B0B34"/>
    <w:rsid w:val="37347C88"/>
    <w:rsid w:val="37E76C86"/>
    <w:rsid w:val="396430B4"/>
    <w:rsid w:val="397825BC"/>
    <w:rsid w:val="39833969"/>
    <w:rsid w:val="39AF72A0"/>
    <w:rsid w:val="3A9A3131"/>
    <w:rsid w:val="3AA13714"/>
    <w:rsid w:val="3ABE77F6"/>
    <w:rsid w:val="3B9930A8"/>
    <w:rsid w:val="3D5A1015"/>
    <w:rsid w:val="3D9F20A5"/>
    <w:rsid w:val="3DA61753"/>
    <w:rsid w:val="3E426526"/>
    <w:rsid w:val="3ED37462"/>
    <w:rsid w:val="3ED42873"/>
    <w:rsid w:val="3F343FB6"/>
    <w:rsid w:val="3F354F38"/>
    <w:rsid w:val="3F92514A"/>
    <w:rsid w:val="3F972E98"/>
    <w:rsid w:val="3FB9042D"/>
    <w:rsid w:val="401F61B5"/>
    <w:rsid w:val="41193E41"/>
    <w:rsid w:val="41597CC1"/>
    <w:rsid w:val="41A664D0"/>
    <w:rsid w:val="41B13BD3"/>
    <w:rsid w:val="41EF728F"/>
    <w:rsid w:val="42355579"/>
    <w:rsid w:val="42522927"/>
    <w:rsid w:val="425D6528"/>
    <w:rsid w:val="42671377"/>
    <w:rsid w:val="430B6E49"/>
    <w:rsid w:val="460D0517"/>
    <w:rsid w:val="460E66C6"/>
    <w:rsid w:val="46205A1C"/>
    <w:rsid w:val="467233BF"/>
    <w:rsid w:val="47427C8E"/>
    <w:rsid w:val="474A0A85"/>
    <w:rsid w:val="479762EE"/>
    <w:rsid w:val="47F949DF"/>
    <w:rsid w:val="48577A65"/>
    <w:rsid w:val="49466EFD"/>
    <w:rsid w:val="4A33138B"/>
    <w:rsid w:val="4A332306"/>
    <w:rsid w:val="4AB76A28"/>
    <w:rsid w:val="4AC9763E"/>
    <w:rsid w:val="4AE07264"/>
    <w:rsid w:val="4B243768"/>
    <w:rsid w:val="4B342EE1"/>
    <w:rsid w:val="4B384CC0"/>
    <w:rsid w:val="4B4E38C2"/>
    <w:rsid w:val="4B632A78"/>
    <w:rsid w:val="4C9F2990"/>
    <w:rsid w:val="4D364E31"/>
    <w:rsid w:val="4E1857AC"/>
    <w:rsid w:val="4E26261F"/>
    <w:rsid w:val="4E403C3C"/>
    <w:rsid w:val="4E901F73"/>
    <w:rsid w:val="4F3C1F6D"/>
    <w:rsid w:val="4F410CB6"/>
    <w:rsid w:val="4FB46852"/>
    <w:rsid w:val="51112461"/>
    <w:rsid w:val="513959C5"/>
    <w:rsid w:val="51791DFD"/>
    <w:rsid w:val="5292324C"/>
    <w:rsid w:val="533C7B83"/>
    <w:rsid w:val="53DA28A7"/>
    <w:rsid w:val="540909EB"/>
    <w:rsid w:val="548A63EC"/>
    <w:rsid w:val="552044B5"/>
    <w:rsid w:val="554F676F"/>
    <w:rsid w:val="55EB1177"/>
    <w:rsid w:val="56B474E3"/>
    <w:rsid w:val="56C54260"/>
    <w:rsid w:val="584F4DEB"/>
    <w:rsid w:val="5853551D"/>
    <w:rsid w:val="58581F0E"/>
    <w:rsid w:val="59953DB9"/>
    <w:rsid w:val="5A160B96"/>
    <w:rsid w:val="5A53303E"/>
    <w:rsid w:val="5AA82E6F"/>
    <w:rsid w:val="5BA83EAD"/>
    <w:rsid w:val="5C1169B9"/>
    <w:rsid w:val="5C152C9F"/>
    <w:rsid w:val="5C432CB0"/>
    <w:rsid w:val="5C4B2EE6"/>
    <w:rsid w:val="5C655779"/>
    <w:rsid w:val="5DA04389"/>
    <w:rsid w:val="5DBD752C"/>
    <w:rsid w:val="5E373A11"/>
    <w:rsid w:val="5E377FA2"/>
    <w:rsid w:val="5E6926D0"/>
    <w:rsid w:val="5F2E6734"/>
    <w:rsid w:val="5F7B0AA0"/>
    <w:rsid w:val="601B3CC5"/>
    <w:rsid w:val="60891CC0"/>
    <w:rsid w:val="608D2023"/>
    <w:rsid w:val="60A46CB8"/>
    <w:rsid w:val="61402FE4"/>
    <w:rsid w:val="616621EC"/>
    <w:rsid w:val="617C3486"/>
    <w:rsid w:val="61B451D9"/>
    <w:rsid w:val="62417376"/>
    <w:rsid w:val="62861D7E"/>
    <w:rsid w:val="64D40A87"/>
    <w:rsid w:val="651C283E"/>
    <w:rsid w:val="65285B05"/>
    <w:rsid w:val="65937CA4"/>
    <w:rsid w:val="661121FF"/>
    <w:rsid w:val="673967DC"/>
    <w:rsid w:val="6780109A"/>
    <w:rsid w:val="67ED4339"/>
    <w:rsid w:val="683C52F1"/>
    <w:rsid w:val="684024A0"/>
    <w:rsid w:val="688050F9"/>
    <w:rsid w:val="696D49BA"/>
    <w:rsid w:val="6A2611E1"/>
    <w:rsid w:val="6A9A4D1F"/>
    <w:rsid w:val="6AA0237F"/>
    <w:rsid w:val="6AC049E9"/>
    <w:rsid w:val="6BAA13E3"/>
    <w:rsid w:val="6BB15830"/>
    <w:rsid w:val="6BE03B99"/>
    <w:rsid w:val="6CBC10D1"/>
    <w:rsid w:val="6CDB0888"/>
    <w:rsid w:val="6CF13463"/>
    <w:rsid w:val="6D1A4453"/>
    <w:rsid w:val="6D614100"/>
    <w:rsid w:val="6E7708AC"/>
    <w:rsid w:val="6FF4257E"/>
    <w:rsid w:val="71A67BCE"/>
    <w:rsid w:val="71CA593D"/>
    <w:rsid w:val="71FB1ECF"/>
    <w:rsid w:val="727B3332"/>
    <w:rsid w:val="732038EF"/>
    <w:rsid w:val="73242065"/>
    <w:rsid w:val="73CB4D0A"/>
    <w:rsid w:val="740206F2"/>
    <w:rsid w:val="740B2075"/>
    <w:rsid w:val="743209BA"/>
    <w:rsid w:val="743C27BF"/>
    <w:rsid w:val="7483273D"/>
    <w:rsid w:val="74B272F8"/>
    <w:rsid w:val="76C9130A"/>
    <w:rsid w:val="78E933D4"/>
    <w:rsid w:val="79490AF8"/>
    <w:rsid w:val="797C2BF9"/>
    <w:rsid w:val="79FC742D"/>
    <w:rsid w:val="7AB2474C"/>
    <w:rsid w:val="7ABF2D23"/>
    <w:rsid w:val="7B583BB7"/>
    <w:rsid w:val="7B761B39"/>
    <w:rsid w:val="7BD62DEB"/>
    <w:rsid w:val="7C630EA1"/>
    <w:rsid w:val="7CB7092B"/>
    <w:rsid w:val="7D6A27F9"/>
    <w:rsid w:val="7D74675F"/>
    <w:rsid w:val="7DC44727"/>
    <w:rsid w:val="7E1E61D3"/>
    <w:rsid w:val="7E2E7118"/>
    <w:rsid w:val="7EB406EC"/>
    <w:rsid w:val="7EBE547D"/>
    <w:rsid w:val="7F6D09DC"/>
    <w:rsid w:val="7FBC16F3"/>
    <w:rsid w:val="7FED30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1"/>
      <w:lang w:val="en-US" w:eastAsia="zh-CN" w:bidi="ar-SA"/>
    </w:rPr>
  </w:style>
  <w:style w:type="paragraph" w:styleId="2">
    <w:name w:val="heading 1"/>
    <w:basedOn w:val="1"/>
    <w:next w:val="1"/>
    <w:link w:val="36"/>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2"/>
    <w:qFormat/>
    <w:uiPriority w:val="0"/>
    <w:pPr>
      <w:keepLines/>
      <w:widowControl w:val="0"/>
      <w:numPr>
        <w:ilvl w:val="0"/>
        <w:numId w:val="1"/>
      </w:numPr>
      <w:tabs>
        <w:tab w:val="left" w:pos="239"/>
        <w:tab w:val="clear" w:pos="630"/>
      </w:tabs>
      <w:spacing w:beforeLines="150" w:afterLines="50"/>
      <w:jc w:val="both"/>
      <w:outlineLvl w:val="1"/>
    </w:pPr>
    <w:rPr>
      <w:rFonts w:ascii="宋体" w:hAnsi="Arial"/>
      <w:b/>
      <w:bCs/>
      <w:sz w:val="24"/>
      <w:szCs w:val="32"/>
    </w:rPr>
  </w:style>
  <w:style w:type="paragraph" w:styleId="4">
    <w:name w:val="heading 3"/>
    <w:basedOn w:val="1"/>
    <w:next w:val="1"/>
    <w:link w:val="42"/>
    <w:qFormat/>
    <w:uiPriority w:val="0"/>
    <w:pPr>
      <w:widowControl w:val="0"/>
      <w:spacing w:line="360" w:lineRule="auto"/>
      <w:jc w:val="both"/>
      <w:outlineLvl w:val="2"/>
    </w:pPr>
    <w:rPr>
      <w:rFonts w:ascii="宋体"/>
    </w:rPr>
  </w:style>
  <w:style w:type="paragraph" w:styleId="5">
    <w:name w:val="heading 4"/>
    <w:basedOn w:val="1"/>
    <w:next w:val="1"/>
    <w:qFormat/>
    <w:uiPriority w:val="0"/>
    <w:pPr>
      <w:keepNext/>
      <w:keepLines/>
      <w:tabs>
        <w:tab w:val="left" w:pos="864"/>
      </w:tabs>
      <w:spacing w:before="280" w:after="290" w:line="376" w:lineRule="auto"/>
      <w:ind w:left="864" w:hanging="864"/>
      <w:outlineLvl w:val="3"/>
    </w:pPr>
    <w:rPr>
      <w:rFonts w:ascii="Arial" w:hAnsi="Arial" w:eastAsia="黑体"/>
      <w:b/>
      <w:bCs/>
      <w:sz w:val="28"/>
      <w:szCs w:val="28"/>
    </w:rPr>
  </w:style>
  <w:style w:type="paragraph" w:styleId="6">
    <w:name w:val="heading 9"/>
    <w:basedOn w:val="1"/>
    <w:next w:val="1"/>
    <w:qFormat/>
    <w:uiPriority w:val="0"/>
    <w:pPr>
      <w:keepNext/>
      <w:keepLines/>
      <w:tabs>
        <w:tab w:val="left" w:pos="1584"/>
      </w:tabs>
      <w:overflowPunct w:val="0"/>
      <w:autoSpaceDE w:val="0"/>
      <w:autoSpaceDN w:val="0"/>
      <w:adjustRightInd w:val="0"/>
      <w:spacing w:before="240" w:after="64" w:line="320" w:lineRule="atLeast"/>
      <w:ind w:left="1559" w:hanging="1559"/>
      <w:textAlignment w:val="baseline"/>
      <w:outlineLvl w:val="8"/>
    </w:pPr>
    <w:rPr>
      <w:rFonts w:ascii="宋体" w:hAnsi="Calibri"/>
      <w:spacing w:val="10"/>
      <w:szCs w:val="22"/>
    </w:rPr>
  </w:style>
  <w:style w:type="character" w:default="1" w:styleId="25">
    <w:name w:val="Default Paragraph Font"/>
    <w:unhideWhenUsed/>
    <w:qFormat/>
    <w:uiPriority w:val="1"/>
  </w:style>
  <w:style w:type="table" w:default="1" w:styleId="30">
    <w:name w:val="Normal Table"/>
    <w:unhideWhenUsed/>
    <w:qFormat/>
    <w:uiPriority w:val="99"/>
    <w:tblPr>
      <w:tblLayout w:type="fixed"/>
      <w:tblCellMar>
        <w:top w:w="0" w:type="dxa"/>
        <w:left w:w="108" w:type="dxa"/>
        <w:bottom w:w="0" w:type="dxa"/>
        <w:right w:w="108" w:type="dxa"/>
      </w:tblCellMar>
    </w:tblPr>
  </w:style>
  <w:style w:type="paragraph" w:styleId="7">
    <w:name w:val="annotation subject"/>
    <w:basedOn w:val="8"/>
    <w:next w:val="8"/>
    <w:semiHidden/>
    <w:qFormat/>
    <w:uiPriority w:val="0"/>
    <w:rPr>
      <w:b/>
      <w:bCs/>
    </w:rPr>
  </w:style>
  <w:style w:type="paragraph" w:styleId="8">
    <w:name w:val="annotation text"/>
    <w:basedOn w:val="1"/>
    <w:semiHidden/>
    <w:qFormat/>
    <w:uiPriority w:val="0"/>
  </w:style>
  <w:style w:type="paragraph" w:styleId="9">
    <w:name w:val="Normal Indent"/>
    <w:basedOn w:val="1"/>
    <w:link w:val="34"/>
    <w:qFormat/>
    <w:uiPriority w:val="0"/>
    <w:pPr>
      <w:widowControl w:val="0"/>
      <w:tabs>
        <w:tab w:val="left" w:pos="720"/>
      </w:tabs>
      <w:autoSpaceDE w:val="0"/>
      <w:autoSpaceDN w:val="0"/>
      <w:adjustRightInd w:val="0"/>
      <w:snapToGrid w:val="0"/>
      <w:spacing w:line="360" w:lineRule="auto"/>
      <w:ind w:left="624" w:hanging="624"/>
      <w:jc w:val="both"/>
      <w:textAlignment w:val="baseline"/>
    </w:pPr>
    <w:rPr>
      <w:rFonts w:ascii="宋体"/>
      <w:snapToGrid w:val="0"/>
      <w:color w:val="000000"/>
    </w:rPr>
  </w:style>
  <w:style w:type="paragraph" w:styleId="10">
    <w:name w:val="caption"/>
    <w:basedOn w:val="1"/>
    <w:next w:val="1"/>
    <w:qFormat/>
    <w:uiPriority w:val="0"/>
    <w:rPr>
      <w:rFonts w:ascii="Arial" w:hAnsi="Arial" w:eastAsia="黑体" w:cs="Arial"/>
      <w:sz w:val="20"/>
    </w:rPr>
  </w:style>
  <w:style w:type="paragraph" w:styleId="11">
    <w:name w:val="Document Map"/>
    <w:basedOn w:val="1"/>
    <w:link w:val="40"/>
    <w:qFormat/>
    <w:uiPriority w:val="0"/>
    <w:rPr>
      <w:rFonts w:ascii="宋体"/>
      <w:sz w:val="18"/>
      <w:szCs w:val="18"/>
    </w:rPr>
  </w:style>
  <w:style w:type="paragraph" w:styleId="12">
    <w:name w:val="Body Text 3"/>
    <w:basedOn w:val="1"/>
    <w:link w:val="41"/>
    <w:qFormat/>
    <w:uiPriority w:val="0"/>
    <w:pPr>
      <w:spacing w:after="120"/>
    </w:pPr>
    <w:rPr>
      <w:sz w:val="16"/>
      <w:szCs w:val="16"/>
    </w:rPr>
  </w:style>
  <w:style w:type="paragraph" w:styleId="13">
    <w:name w:val="Body Text Indent"/>
    <w:basedOn w:val="1"/>
    <w:qFormat/>
    <w:uiPriority w:val="0"/>
    <w:pPr>
      <w:spacing w:after="120"/>
      <w:ind w:left="420" w:leftChars="200"/>
    </w:pPr>
  </w:style>
  <w:style w:type="paragraph" w:styleId="14">
    <w:name w:val="Plain Text"/>
    <w:basedOn w:val="1"/>
    <w:link w:val="37"/>
    <w:qFormat/>
    <w:uiPriority w:val="0"/>
    <w:pPr>
      <w:widowControl w:val="0"/>
      <w:jc w:val="both"/>
    </w:pPr>
    <w:rPr>
      <w:rFonts w:ascii="宋体" w:hAnsi="Courier New"/>
      <w:kern w:val="2"/>
    </w:rPr>
  </w:style>
  <w:style w:type="paragraph" w:styleId="15">
    <w:name w:val="Date"/>
    <w:basedOn w:val="1"/>
    <w:next w:val="1"/>
    <w:qFormat/>
    <w:uiPriority w:val="0"/>
    <w:pPr>
      <w:widowControl w:val="0"/>
      <w:jc w:val="both"/>
    </w:pPr>
    <w:rPr>
      <w:kern w:val="2"/>
    </w:rPr>
  </w:style>
  <w:style w:type="paragraph" w:styleId="16">
    <w:name w:val="Body Text Indent 2"/>
    <w:basedOn w:val="1"/>
    <w:qFormat/>
    <w:uiPriority w:val="0"/>
    <w:pPr>
      <w:spacing w:after="120" w:line="480" w:lineRule="auto"/>
      <w:ind w:left="420" w:leftChars="200"/>
    </w:pPr>
  </w:style>
  <w:style w:type="paragraph" w:styleId="17">
    <w:name w:val="Balloon Text"/>
    <w:basedOn w:val="1"/>
    <w:semiHidden/>
    <w:qFormat/>
    <w:uiPriority w:val="0"/>
    <w:rPr>
      <w:sz w:val="18"/>
      <w:szCs w:val="18"/>
    </w:rPr>
  </w:style>
  <w:style w:type="paragraph" w:styleId="18">
    <w:name w:val="footer"/>
    <w:basedOn w:val="1"/>
    <w:link w:val="43"/>
    <w:qFormat/>
    <w:uiPriority w:val="0"/>
    <w:pPr>
      <w:tabs>
        <w:tab w:val="center" w:pos="4153"/>
        <w:tab w:val="right" w:pos="8306"/>
      </w:tabs>
      <w:snapToGrid w:val="0"/>
    </w:pPr>
    <w:rPr>
      <w:sz w:val="18"/>
      <w:szCs w:val="18"/>
    </w:rPr>
  </w:style>
  <w:style w:type="paragraph" w:styleId="19">
    <w:name w:val="header"/>
    <w:basedOn w:val="1"/>
    <w:link w:val="45"/>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semiHidden/>
    <w:qFormat/>
    <w:uiPriority w:val="0"/>
    <w:pPr>
      <w:tabs>
        <w:tab w:val="left" w:pos="720"/>
      </w:tabs>
      <w:spacing w:line="480" w:lineRule="exact"/>
      <w:jc w:val="center"/>
    </w:pPr>
    <w:rPr>
      <w:rFonts w:ascii="宋体"/>
      <w:b/>
      <w:bCs/>
      <w:sz w:val="28"/>
      <w:szCs w:val="28"/>
    </w:rPr>
  </w:style>
  <w:style w:type="paragraph" w:styleId="21">
    <w:name w:val="index heading"/>
    <w:basedOn w:val="1"/>
    <w:next w:val="22"/>
    <w:qFormat/>
    <w:uiPriority w:val="0"/>
    <w:pPr>
      <w:widowControl w:val="0"/>
      <w:jc w:val="both"/>
    </w:pPr>
    <w:rPr>
      <w:kern w:val="2"/>
      <w:szCs w:val="24"/>
    </w:rPr>
  </w:style>
  <w:style w:type="paragraph" w:styleId="22">
    <w:name w:val="index 1"/>
    <w:basedOn w:val="1"/>
    <w:next w:val="1"/>
    <w:semiHidden/>
    <w:qFormat/>
    <w:uiPriority w:val="0"/>
  </w:style>
  <w:style w:type="paragraph" w:styleId="23">
    <w:name w:val="toc 2"/>
    <w:basedOn w:val="1"/>
    <w:next w:val="1"/>
    <w:semiHidden/>
    <w:qFormat/>
    <w:uiPriority w:val="0"/>
    <w:pPr>
      <w:ind w:left="420" w:leftChars="200"/>
    </w:pPr>
  </w:style>
  <w:style w:type="paragraph" w:styleId="24">
    <w:name w:val="Normal (Web)"/>
    <w:basedOn w:val="1"/>
    <w:qFormat/>
    <w:uiPriority w:val="0"/>
    <w:pPr>
      <w:spacing w:before="100" w:beforeLines="0" w:beforeAutospacing="1" w:after="100" w:afterLines="0" w:afterAutospacing="1"/>
    </w:pPr>
    <w:rPr>
      <w:rFonts w:ascii="宋体" w:hAnsi="宋体" w:cs="宋体"/>
      <w:sz w:val="24"/>
      <w:szCs w:val="24"/>
    </w:rPr>
  </w:style>
  <w:style w:type="character" w:styleId="26">
    <w:name w:val="page number"/>
    <w:basedOn w:val="25"/>
    <w:qFormat/>
    <w:uiPriority w:val="0"/>
  </w:style>
  <w:style w:type="character" w:styleId="27">
    <w:name w:val="Emphasis"/>
    <w:basedOn w:val="25"/>
    <w:qFormat/>
    <w:uiPriority w:val="0"/>
    <w:rPr>
      <w:color w:val="CC0000"/>
    </w:rPr>
  </w:style>
  <w:style w:type="character" w:styleId="28">
    <w:name w:val="Hyperlink"/>
    <w:qFormat/>
    <w:uiPriority w:val="0"/>
    <w:rPr>
      <w:color w:val="0000FF"/>
      <w:u w:val="single"/>
    </w:rPr>
  </w:style>
  <w:style w:type="character" w:styleId="29">
    <w:name w:val="annotation reference"/>
    <w:semiHidden/>
    <w:qFormat/>
    <w:uiPriority w:val="0"/>
    <w:rPr>
      <w:sz w:val="21"/>
      <w:szCs w:val="21"/>
    </w:rPr>
  </w:style>
  <w:style w:type="table" w:styleId="31">
    <w:name w:val="Table Grid"/>
    <w:basedOn w:val="30"/>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32">
    <w:name w:val="标题 2 Char"/>
    <w:link w:val="3"/>
    <w:qFormat/>
    <w:locked/>
    <w:uiPriority w:val="0"/>
    <w:rPr>
      <w:rFonts w:ascii="宋体" w:hAnsi="Arial" w:eastAsia="宋体"/>
      <w:b/>
      <w:bCs/>
      <w:sz w:val="24"/>
      <w:szCs w:val="32"/>
      <w:lang w:val="en-US" w:eastAsia="zh-CN" w:bidi="ar-SA"/>
    </w:rPr>
  </w:style>
  <w:style w:type="character" w:customStyle="1" w:styleId="33">
    <w:name w:val="Normal Indent Char"/>
    <w:qFormat/>
    <w:locked/>
    <w:uiPriority w:val="0"/>
    <w:rPr>
      <w:rFonts w:ascii="Times New Roman" w:hAnsi="Times New Roman" w:eastAsia="宋体"/>
      <w:kern w:val="0"/>
      <w:sz w:val="20"/>
    </w:rPr>
  </w:style>
  <w:style w:type="character" w:customStyle="1" w:styleId="34">
    <w:name w:val="正文缩进 Char"/>
    <w:link w:val="9"/>
    <w:qFormat/>
    <w:uiPriority w:val="0"/>
    <w:rPr>
      <w:rFonts w:ascii="宋体" w:eastAsia="宋体"/>
      <w:snapToGrid w:val="0"/>
      <w:color w:val="000000"/>
      <w:sz w:val="21"/>
      <w:lang w:val="en-US" w:eastAsia="zh-CN" w:bidi="ar-SA"/>
    </w:rPr>
  </w:style>
  <w:style w:type="character" w:customStyle="1" w:styleId="35">
    <w:name w:val="font01"/>
    <w:qFormat/>
    <w:uiPriority w:val="0"/>
    <w:rPr>
      <w:rFonts w:hint="eastAsia" w:ascii="宋体" w:hAnsi="宋体" w:eastAsia="宋体" w:cs="宋体"/>
      <w:color w:val="000000"/>
      <w:sz w:val="24"/>
      <w:szCs w:val="24"/>
      <w:u w:val="none"/>
    </w:rPr>
  </w:style>
  <w:style w:type="character" w:customStyle="1" w:styleId="36">
    <w:name w:val="标题 1 Char"/>
    <w:link w:val="2"/>
    <w:qFormat/>
    <w:locked/>
    <w:uiPriority w:val="0"/>
    <w:rPr>
      <w:rFonts w:eastAsia="宋体"/>
      <w:b/>
      <w:bCs/>
      <w:kern w:val="44"/>
      <w:sz w:val="44"/>
      <w:szCs w:val="44"/>
      <w:lang w:val="en-US" w:eastAsia="zh-CN" w:bidi="ar-SA"/>
    </w:rPr>
  </w:style>
  <w:style w:type="character" w:customStyle="1" w:styleId="37">
    <w:name w:val="纯文本 Char"/>
    <w:link w:val="14"/>
    <w:qFormat/>
    <w:uiPriority w:val="0"/>
    <w:rPr>
      <w:rFonts w:ascii="宋体" w:hAnsi="Courier New" w:eastAsia="宋体"/>
      <w:kern w:val="2"/>
      <w:sz w:val="21"/>
      <w:lang w:val="en-US" w:eastAsia="zh-CN" w:bidi="ar-SA"/>
    </w:rPr>
  </w:style>
  <w:style w:type="character" w:customStyle="1" w:styleId="38">
    <w:name w:val="style81"/>
    <w:qFormat/>
    <w:uiPriority w:val="0"/>
    <w:rPr>
      <w:sz w:val="21"/>
      <w:szCs w:val="21"/>
    </w:rPr>
  </w:style>
  <w:style w:type="character" w:customStyle="1" w:styleId="39">
    <w:name w:val="Plain Text Char"/>
    <w:qFormat/>
    <w:locked/>
    <w:uiPriority w:val="0"/>
    <w:rPr>
      <w:rFonts w:ascii="宋体" w:hAnsi="Courier New" w:eastAsia="宋体"/>
      <w:kern w:val="0"/>
      <w:sz w:val="21"/>
    </w:rPr>
  </w:style>
  <w:style w:type="character" w:customStyle="1" w:styleId="40">
    <w:name w:val="文档结构图 Char"/>
    <w:link w:val="11"/>
    <w:qFormat/>
    <w:uiPriority w:val="0"/>
    <w:rPr>
      <w:rFonts w:ascii="宋体"/>
      <w:sz w:val="18"/>
      <w:szCs w:val="18"/>
      <w:lang w:bidi="ar-SA"/>
    </w:rPr>
  </w:style>
  <w:style w:type="character" w:customStyle="1" w:styleId="41">
    <w:name w:val="正文文本 3 Char"/>
    <w:link w:val="12"/>
    <w:qFormat/>
    <w:uiPriority w:val="0"/>
    <w:rPr>
      <w:rFonts w:eastAsia="宋体"/>
      <w:sz w:val="16"/>
      <w:szCs w:val="16"/>
      <w:lang w:val="en-US" w:eastAsia="zh-CN" w:bidi="ar-SA"/>
    </w:rPr>
  </w:style>
  <w:style w:type="character" w:customStyle="1" w:styleId="42">
    <w:name w:val="标题 3 Char"/>
    <w:link w:val="4"/>
    <w:qFormat/>
    <w:uiPriority w:val="0"/>
    <w:rPr>
      <w:rFonts w:ascii="宋体" w:eastAsia="宋体"/>
      <w:sz w:val="21"/>
      <w:lang w:val="en-US" w:eastAsia="zh-CN" w:bidi="ar-SA"/>
    </w:rPr>
  </w:style>
  <w:style w:type="character" w:customStyle="1" w:styleId="43">
    <w:name w:val="页脚 Char"/>
    <w:link w:val="18"/>
    <w:qFormat/>
    <w:locked/>
    <w:uiPriority w:val="0"/>
    <w:rPr>
      <w:rFonts w:eastAsia="宋体"/>
      <w:sz w:val="18"/>
      <w:szCs w:val="18"/>
      <w:lang w:val="en-US" w:eastAsia="zh-CN" w:bidi="ar-SA"/>
    </w:rPr>
  </w:style>
  <w:style w:type="character" w:customStyle="1" w:styleId="44">
    <w:name w:val="Header Char"/>
    <w:qFormat/>
    <w:locked/>
    <w:uiPriority w:val="0"/>
    <w:rPr>
      <w:rFonts w:cs="Times New Roman"/>
      <w:sz w:val="18"/>
      <w:szCs w:val="18"/>
    </w:rPr>
  </w:style>
  <w:style w:type="character" w:customStyle="1" w:styleId="45">
    <w:name w:val="页眉 Char"/>
    <w:link w:val="19"/>
    <w:qFormat/>
    <w:uiPriority w:val="0"/>
    <w:rPr>
      <w:rFonts w:eastAsia="宋体"/>
      <w:sz w:val="18"/>
      <w:szCs w:val="18"/>
      <w:lang w:val="en-US" w:eastAsia="zh-CN" w:bidi="ar-SA"/>
    </w:rPr>
  </w:style>
  <w:style w:type="paragraph" w:customStyle="1" w:styleId="46">
    <w:name w:val="_Style 10"/>
    <w:basedOn w:val="1"/>
    <w:qFormat/>
    <w:uiPriority w:val="0"/>
    <w:pPr>
      <w:spacing w:after="160" w:line="240" w:lineRule="exact"/>
    </w:pPr>
    <w:rPr>
      <w:rFonts w:ascii="Verdana" w:hAnsi="Verdana"/>
      <w:lang w:eastAsia="en-US"/>
    </w:rPr>
  </w:style>
  <w:style w:type="paragraph" w:customStyle="1" w:styleId="47">
    <w:name w:val="0段落文字"/>
    <w:basedOn w:val="1"/>
    <w:qFormat/>
    <w:uiPriority w:val="0"/>
    <w:pPr>
      <w:spacing w:line="360" w:lineRule="auto"/>
      <w:ind w:firstLine="200" w:firstLineChars="200"/>
    </w:pPr>
    <w:rPr>
      <w:sz w:val="24"/>
      <w:szCs w:val="21"/>
    </w:rPr>
  </w:style>
  <w:style w:type="paragraph" w:customStyle="1" w:styleId="48">
    <w:name w:val="_Style 3"/>
    <w:basedOn w:val="1"/>
    <w:qFormat/>
    <w:uiPriority w:val="1"/>
    <w:pPr>
      <w:spacing w:before="120" w:line="360" w:lineRule="auto"/>
      <w:outlineLvl w:val="0"/>
    </w:pPr>
    <w:rPr>
      <w:rFonts w:ascii="仿宋_GB2312" w:hAnsi="宋体" w:eastAsia="仿宋_GB2312"/>
      <w:b/>
      <w:color w:val="000000"/>
      <w:sz w:val="32"/>
      <w:szCs w:val="32"/>
    </w:rPr>
  </w:style>
  <w:style w:type="paragraph" w:customStyle="1" w:styleId="49">
    <w:name w:val="图"/>
    <w:basedOn w:val="1"/>
    <w:qFormat/>
    <w:uiPriority w:val="0"/>
    <w:pPr>
      <w:keepNext/>
      <w:widowControl w:val="0"/>
      <w:adjustRightInd w:val="0"/>
      <w:snapToGrid w:val="0"/>
      <w:spacing w:before="60" w:after="60" w:line="300" w:lineRule="auto"/>
      <w:jc w:val="center"/>
    </w:pPr>
    <w:rPr>
      <w:spacing w:val="20"/>
      <w:sz w:val="24"/>
    </w:rPr>
  </w:style>
  <w:style w:type="paragraph" w:customStyle="1" w:styleId="50">
    <w:name w:val="_正文段落"/>
    <w:basedOn w:val="1"/>
    <w:qFormat/>
    <w:uiPriority w:val="0"/>
    <w:pPr>
      <w:spacing w:line="360" w:lineRule="auto"/>
      <w:ind w:firstLine="480" w:firstLineChars="200"/>
    </w:pPr>
    <w:rPr>
      <w:rFonts w:ascii="宋体" w:hAnsi="宋体"/>
      <w:sz w:val="24"/>
    </w:rPr>
  </w:style>
  <w:style w:type="paragraph" w:customStyle="1" w:styleId="51">
    <w:name w:val="列出段落1"/>
    <w:basedOn w:val="1"/>
    <w:qFormat/>
    <w:uiPriority w:val="0"/>
    <w:pPr>
      <w:widowControl w:val="0"/>
      <w:ind w:firstLine="420" w:firstLineChars="200"/>
      <w:jc w:val="both"/>
    </w:pPr>
    <w:rPr>
      <w:rFonts w:ascii="Calibri" w:hAnsi="Calibri"/>
      <w:kern w:val="2"/>
      <w:szCs w:val="22"/>
    </w:rPr>
  </w:style>
  <w:style w:type="paragraph" w:customStyle="1" w:styleId="52">
    <w:name w:val="表格文字"/>
    <w:basedOn w:val="1"/>
    <w:qFormat/>
    <w:uiPriority w:val="0"/>
    <w:pPr>
      <w:widowControl w:val="0"/>
      <w:spacing w:before="25" w:after="25"/>
    </w:pPr>
    <w:rPr>
      <w:bCs/>
      <w:spacing w:val="10"/>
      <w:sz w:val="24"/>
    </w:rPr>
  </w:style>
  <w:style w:type="paragraph" w:customStyle="1" w:styleId="53">
    <w:name w:val="Char1"/>
    <w:basedOn w:val="1"/>
    <w:qFormat/>
    <w:uiPriority w:val="0"/>
    <w:pPr>
      <w:spacing w:after="160" w:line="240" w:lineRule="exact"/>
    </w:pPr>
    <w:rPr>
      <w:rFonts w:ascii="Verdana" w:hAnsi="Verdana"/>
      <w:lang w:eastAsia="en-US"/>
    </w:rPr>
  </w:style>
  <w:style w:type="paragraph" w:customStyle="1" w:styleId="54">
    <w:name w:val="Char Char Char"/>
    <w:basedOn w:val="1"/>
    <w:qFormat/>
    <w:uiPriority w:val="0"/>
    <w:pPr>
      <w:widowControl w:val="0"/>
      <w:jc w:val="both"/>
    </w:pPr>
    <w:rPr>
      <w:rFonts w:ascii="Tahoma" w:hAnsi="Tahoma"/>
      <w:kern w:val="2"/>
      <w:sz w:val="24"/>
    </w:rPr>
  </w:style>
  <w:style w:type="paragraph" w:customStyle="1" w:styleId="55">
    <w:name w:val="题注5"/>
    <w:basedOn w:val="1"/>
    <w:next w:val="10"/>
    <w:qFormat/>
    <w:uiPriority w:val="0"/>
    <w:pPr>
      <w:widowControl w:val="0"/>
      <w:jc w:val="center"/>
    </w:pPr>
    <w:rPr>
      <w:b/>
      <w:color w:val="000000"/>
      <w:kern w:val="2"/>
      <w:sz w:val="24"/>
      <w:szCs w:val="21"/>
    </w:rPr>
  </w:style>
  <w:style w:type="paragraph" w:customStyle="1" w:styleId="56">
    <w:name w:val="列出段落2"/>
    <w:basedOn w:val="1"/>
    <w:qFormat/>
    <w:uiPriority w:val="0"/>
    <w:pPr>
      <w:widowControl w:val="0"/>
      <w:ind w:firstLine="420" w:firstLineChars="200"/>
      <w:jc w:val="both"/>
    </w:pPr>
    <w:rPr>
      <w:rFonts w:ascii="Calibri" w:hAnsi="Calibri"/>
      <w:kern w:val="2"/>
      <w:szCs w:val="22"/>
    </w:rPr>
  </w:style>
  <w:style w:type="paragraph" w:customStyle="1" w:styleId="57">
    <w:name w:val="文档正文"/>
    <w:basedOn w:val="1"/>
    <w:qFormat/>
    <w:uiPriority w:val="0"/>
    <w:pPr>
      <w:widowControl w:val="0"/>
      <w:adjustRightInd w:val="0"/>
      <w:spacing w:line="480" w:lineRule="atLeast"/>
      <w:ind w:firstLine="567"/>
      <w:jc w:val="both"/>
      <w:textAlignment w:val="baseline"/>
    </w:pPr>
    <w:rPr>
      <w:rFonts w:ascii="仿宋_GB2312" w:eastAsia="仿宋_GB2312"/>
      <w:sz w:val="24"/>
    </w:rPr>
  </w:style>
  <w:style w:type="paragraph" w:customStyle="1" w:styleId="58">
    <w:name w:val="注释级别 21"/>
    <w:basedOn w:val="1"/>
    <w:qFormat/>
    <w:uiPriority w:val="1"/>
    <w:pPr>
      <w:spacing w:before="120" w:line="360" w:lineRule="auto"/>
      <w:outlineLvl w:val="0"/>
    </w:pPr>
    <w:rPr>
      <w:rFonts w:ascii="仿宋_GB2312" w:hAnsi="宋体" w:eastAsia="仿宋_GB2312"/>
      <w:b/>
      <w:color w:val="000000"/>
      <w:sz w:val="32"/>
      <w:szCs w:val="32"/>
    </w:rPr>
  </w:style>
  <w:style w:type="paragraph" w:customStyle="1" w:styleId="59">
    <w:name w:val="正文缩进2格"/>
    <w:basedOn w:val="1"/>
    <w:qFormat/>
    <w:uiPriority w:val="0"/>
    <w:pPr>
      <w:spacing w:line="600" w:lineRule="exact"/>
      <w:ind w:firstLine="639" w:firstLineChars="206"/>
    </w:pPr>
    <w:rPr>
      <w:rFonts w:ascii="仿宋_GB2312" w:hAnsi="宋体" w:eastAsia="仿宋_GB2312"/>
      <w:kern w:val="0"/>
      <w:sz w:val="31"/>
      <w:szCs w:val="28"/>
    </w:rPr>
  </w:style>
  <w:style w:type="paragraph" w:customStyle="1" w:styleId="60">
    <w:name w:val="正文 New New New New New New New New New New New New New New New New New New New New New New New New New New New New New New New"/>
    <w:qFormat/>
    <w:uiPriority w:val="0"/>
    <w:pPr>
      <w:widowControl w:val="0"/>
      <w:jc w:val="both"/>
    </w:pPr>
    <w:rPr>
      <w:kern w:val="2"/>
      <w:sz w:val="21"/>
      <w:szCs w:val="24"/>
      <w:lang w:val="en-US" w:eastAsia="zh-CN" w:bidi="ar-SA"/>
    </w:rPr>
  </w:style>
  <w:style w:type="paragraph" w:customStyle="1" w:styleId="61">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kern w:val="2"/>
      <w:sz w:val="21"/>
      <w:szCs w:val="24"/>
      <w:lang w:val="en-US" w:eastAsia="zh-CN" w:bidi="ar-SA"/>
    </w:rPr>
  </w:style>
  <w:style w:type="paragraph" w:customStyle="1" w:styleId="62">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w:uiPriority w:val="0"/>
    <w:pPr>
      <w:widowControl w:val="0"/>
      <w:jc w:val="both"/>
    </w:pPr>
    <w:rPr>
      <w:kern w:val="2"/>
      <w:sz w:val="21"/>
      <w:szCs w:val="24"/>
      <w:lang w:val="en-US" w:eastAsia="zh-CN" w:bidi="ar-SA"/>
    </w:rPr>
  </w:style>
  <w:style w:type="paragraph" w:customStyle="1" w:styleId="63">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kern w:val="2"/>
      <w:sz w:val="21"/>
      <w:szCs w:val="24"/>
      <w:lang w:val="en-US" w:eastAsia="zh-CN" w:bidi="ar-SA"/>
    </w:rPr>
  </w:style>
  <w:style w:type="paragraph" w:customStyle="1" w:styleId="64">
    <w:name w:val="正文 New New New New New New New New New New New New New New New New New New New New New New New New New New New New New New New New"/>
    <w:qFormat/>
    <w:uiPriority w:val="0"/>
    <w:pPr>
      <w:widowControl w:val="0"/>
      <w:jc w:val="both"/>
    </w:pPr>
    <w:rPr>
      <w:kern w:val="2"/>
      <w:sz w:val="21"/>
      <w:szCs w:val="24"/>
      <w:lang w:val="en-US" w:eastAsia="zh-CN" w:bidi="ar-SA"/>
    </w:rPr>
  </w:style>
  <w:style w:type="paragraph" w:customStyle="1" w:styleId="65">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kern w:val="2"/>
      <w:sz w:val="21"/>
      <w:szCs w:val="24"/>
      <w:lang w:val="en-US" w:eastAsia="zh-CN" w:bidi="ar-SA"/>
    </w:rPr>
  </w:style>
  <w:style w:type="paragraph" w:customStyle="1" w:styleId="66">
    <w:name w:val="正文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kern w:val="2"/>
      <w:sz w:val="21"/>
      <w:szCs w:val="24"/>
      <w:lang w:val="en-US" w:eastAsia="zh-CN" w:bidi="ar-SA"/>
    </w:rPr>
  </w:style>
  <w:style w:type="paragraph" w:customStyle="1" w:styleId="67">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kern w:val="2"/>
      <w:sz w:val="21"/>
      <w:szCs w:val="24"/>
      <w:lang w:val="en-US" w:eastAsia="zh-CN" w:bidi="ar-SA"/>
    </w:rPr>
  </w:style>
  <w:style w:type="paragraph" w:customStyle="1" w:styleId="68">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kern w:val="2"/>
      <w:sz w:val="21"/>
      <w:szCs w:val="24"/>
      <w:lang w:val="en-US" w:eastAsia="zh-CN" w:bidi="ar-SA"/>
    </w:rPr>
  </w:style>
  <w:style w:type="paragraph" w:customStyle="1" w:styleId="69">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kern w:val="2"/>
      <w:sz w:val="21"/>
      <w:szCs w:val="24"/>
      <w:lang w:val="en-US" w:eastAsia="zh-CN" w:bidi="ar-SA"/>
    </w:rPr>
  </w:style>
  <w:style w:type="paragraph" w:customStyle="1" w:styleId="70">
    <w:name w:val="正文 New New New New New New New New New New New New New New New New New New New New New New New New New New New New New New New New New New New New New"/>
    <w:qFormat/>
    <w:uiPriority w:val="0"/>
    <w:pPr>
      <w:widowControl w:val="0"/>
      <w:jc w:val="both"/>
    </w:pPr>
    <w:rPr>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9.xml"/><Relationship Id="rId16" Type="http://schemas.openxmlformats.org/officeDocument/2006/relationships/header" Target="header6.xml"/><Relationship Id="rId15" Type="http://schemas.openxmlformats.org/officeDocument/2006/relationships/footer" Target="footer8.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4097"/>
    <customShpInfo spid="_x0000_s4100"/>
    <customShpInfo spid="_x0000_s4101"/>
    <customShpInfo spid="_x0000_s4098"/>
    <customShpInfo spid="_x0000_s409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Legend (Beijing) Limited</Company>
  <Pages>82</Pages>
  <Words>7198</Words>
  <Characters>41031</Characters>
  <Lines>341</Lines>
  <Paragraphs>96</Paragraphs>
  <ScaleCrop>false</ScaleCrop>
  <LinksUpToDate>false</LinksUpToDate>
  <CharactersWithSpaces>48133</CharactersWithSpaces>
  <Application>WPS Office_10.1.0.7106_F1E327BC-269C-435d-A152-05C5408002CA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2017-09-05T02:33:00Z</dcterms:created>
  <dc:creator>gzsw</dc:creator>
  <cp:lastModifiedBy>啊D啊J</cp:lastModifiedBy>
  <cp:lastPrinted>2017-08-25T03:24:00Z</cp:lastPrinted>
  <dcterms:modified xsi:type="dcterms:W3CDTF">2018-02-02T08:32:05Z</dcterms:modified>
  <dc:title>0封面</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